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C13F791" w14:textId="77777777" w:rsidR="00193F10" w:rsidRPr="00D41481" w:rsidRDefault="00193F10" w:rsidP="00194AA6">
      <w:pPr>
        <w:jc w:val="center"/>
        <w:rPr>
          <w:sz w:val="22"/>
          <w:szCs w:val="22"/>
        </w:rPr>
      </w:pPr>
      <w:bookmarkStart w:id="0" w:name="_GoBack"/>
      <w:bookmarkEnd w:id="0"/>
    </w:p>
    <w:p w14:paraId="050D4E2C" w14:textId="7CAAD10C" w:rsidR="00193F10" w:rsidRPr="00D41481" w:rsidRDefault="00BD2189" w:rsidP="00194AA6">
      <w:pPr>
        <w:jc w:val="center"/>
        <w:rPr>
          <w:sz w:val="22"/>
          <w:szCs w:val="22"/>
        </w:rPr>
      </w:pPr>
      <w:r>
        <w:rPr>
          <w:noProof/>
        </w:rPr>
        <w:drawing>
          <wp:inline distT="0" distB="0" distL="0" distR="0" wp14:anchorId="4022AF73" wp14:editId="0DB197FC">
            <wp:extent cx="1417320" cy="14173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P-Logo-Color-300DPI.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417320" cy="1417320"/>
                    </a:xfrm>
                    <a:prstGeom prst="rect">
                      <a:avLst/>
                    </a:prstGeom>
                  </pic:spPr>
                </pic:pic>
              </a:graphicData>
            </a:graphic>
          </wp:inline>
        </w:drawing>
      </w:r>
    </w:p>
    <w:p w14:paraId="6A7C8EF3" w14:textId="77777777" w:rsidR="001771DC" w:rsidRPr="00D41481" w:rsidRDefault="001771DC" w:rsidP="00194AA6">
      <w:pPr>
        <w:jc w:val="center"/>
        <w:rPr>
          <w:sz w:val="22"/>
          <w:szCs w:val="22"/>
        </w:rPr>
      </w:pPr>
    </w:p>
    <w:p w14:paraId="4784FD7B" w14:textId="77777777" w:rsidR="00193F10" w:rsidRPr="00D41481" w:rsidRDefault="00193F10" w:rsidP="00194AA6">
      <w:pPr>
        <w:pStyle w:val="Heading3"/>
        <w:rPr>
          <w:b/>
          <w:sz w:val="22"/>
          <w:szCs w:val="22"/>
        </w:rPr>
      </w:pPr>
      <w:r w:rsidRPr="00D41481">
        <w:rPr>
          <w:b/>
          <w:sz w:val="22"/>
          <w:szCs w:val="22"/>
        </w:rPr>
        <w:t>TECHNICAL EVALUATION</w:t>
      </w:r>
    </w:p>
    <w:p w14:paraId="53FD4587" w14:textId="77777777" w:rsidR="00193F10" w:rsidRPr="00D41481" w:rsidRDefault="00193F10" w:rsidP="00194AA6">
      <w:pPr>
        <w:jc w:val="center"/>
        <w:rPr>
          <w:b/>
          <w:sz w:val="22"/>
          <w:szCs w:val="22"/>
        </w:rPr>
      </w:pPr>
      <w:r w:rsidRPr="00D41481">
        <w:rPr>
          <w:b/>
          <w:sz w:val="22"/>
          <w:szCs w:val="22"/>
        </w:rPr>
        <w:t>&amp;</w:t>
      </w:r>
    </w:p>
    <w:p w14:paraId="366130D3" w14:textId="77777777" w:rsidR="00193F10" w:rsidRPr="00D41481" w:rsidRDefault="00193F10" w:rsidP="00194AA6">
      <w:pPr>
        <w:jc w:val="center"/>
        <w:rPr>
          <w:b/>
          <w:sz w:val="22"/>
          <w:szCs w:val="22"/>
        </w:rPr>
      </w:pPr>
      <w:r w:rsidRPr="00D41481">
        <w:rPr>
          <w:b/>
          <w:sz w:val="22"/>
          <w:szCs w:val="22"/>
        </w:rPr>
        <w:t>PRELIMINARY DETERMINATION</w:t>
      </w:r>
    </w:p>
    <w:p w14:paraId="499ACDE4" w14:textId="77777777" w:rsidR="00193F10" w:rsidRPr="00D41481" w:rsidRDefault="00193F10" w:rsidP="00194AA6">
      <w:pPr>
        <w:jc w:val="center"/>
        <w:rPr>
          <w:sz w:val="22"/>
          <w:szCs w:val="22"/>
        </w:rPr>
      </w:pPr>
    </w:p>
    <w:p w14:paraId="7E77469D" w14:textId="77777777" w:rsidR="00193F10" w:rsidRPr="00D41481" w:rsidRDefault="00193F10" w:rsidP="00194AA6">
      <w:pPr>
        <w:jc w:val="center"/>
        <w:rPr>
          <w:sz w:val="22"/>
          <w:szCs w:val="22"/>
        </w:rPr>
      </w:pPr>
    </w:p>
    <w:p w14:paraId="40DCFE14" w14:textId="77777777" w:rsidR="00194AA6" w:rsidRPr="00D41481" w:rsidRDefault="00194AA6" w:rsidP="00194AA6">
      <w:pPr>
        <w:pStyle w:val="Heading4"/>
        <w:spacing w:after="120"/>
        <w:rPr>
          <w:bCs/>
          <w:szCs w:val="22"/>
        </w:rPr>
      </w:pPr>
      <w:r w:rsidRPr="00D41481">
        <w:rPr>
          <w:bCs/>
          <w:szCs w:val="22"/>
        </w:rPr>
        <w:t>APPLICANT</w:t>
      </w:r>
    </w:p>
    <w:p w14:paraId="790C27A5" w14:textId="77777777" w:rsidR="007B0FA8" w:rsidRPr="00D41481" w:rsidRDefault="007B0FA8" w:rsidP="007B0FA8">
      <w:pPr>
        <w:spacing w:before="60"/>
        <w:jc w:val="center"/>
        <w:rPr>
          <w:sz w:val="22"/>
          <w:szCs w:val="22"/>
        </w:rPr>
      </w:pPr>
    </w:p>
    <w:p w14:paraId="64E010F2" w14:textId="77777777" w:rsidR="0016586A" w:rsidRPr="0052109D" w:rsidRDefault="0016586A" w:rsidP="0016586A">
      <w:pPr>
        <w:jc w:val="center"/>
        <w:rPr>
          <w:sz w:val="22"/>
          <w:szCs w:val="22"/>
        </w:rPr>
      </w:pPr>
      <w:r w:rsidRPr="0052109D">
        <w:rPr>
          <w:sz w:val="22"/>
          <w:szCs w:val="22"/>
        </w:rPr>
        <w:t>Griffin Industries of Florida</w:t>
      </w:r>
    </w:p>
    <w:p w14:paraId="02F6F626" w14:textId="77777777" w:rsidR="0016586A" w:rsidRPr="0052109D" w:rsidRDefault="0016586A" w:rsidP="0016586A">
      <w:pPr>
        <w:jc w:val="center"/>
        <w:rPr>
          <w:sz w:val="22"/>
          <w:szCs w:val="22"/>
        </w:rPr>
      </w:pPr>
      <w:r w:rsidRPr="0052109D">
        <w:rPr>
          <w:sz w:val="22"/>
          <w:szCs w:val="22"/>
        </w:rPr>
        <w:t>11313 Southeast 52</w:t>
      </w:r>
      <w:r w:rsidRPr="0052109D">
        <w:rPr>
          <w:sz w:val="22"/>
          <w:szCs w:val="22"/>
          <w:vertAlign w:val="superscript"/>
        </w:rPr>
        <w:t>nd</w:t>
      </w:r>
      <w:r w:rsidRPr="0052109D">
        <w:rPr>
          <w:sz w:val="22"/>
          <w:szCs w:val="22"/>
        </w:rPr>
        <w:t xml:space="preserve"> Avenue</w:t>
      </w:r>
    </w:p>
    <w:p w14:paraId="574DC84D" w14:textId="77777777" w:rsidR="0016586A" w:rsidRPr="0052109D" w:rsidRDefault="0016586A" w:rsidP="0016586A">
      <w:pPr>
        <w:widowControl w:val="0"/>
        <w:jc w:val="center"/>
        <w:rPr>
          <w:sz w:val="22"/>
          <w:szCs w:val="22"/>
        </w:rPr>
      </w:pPr>
      <w:r w:rsidRPr="0052109D">
        <w:rPr>
          <w:sz w:val="22"/>
          <w:szCs w:val="22"/>
        </w:rPr>
        <w:t>Starke, Florida 32091</w:t>
      </w:r>
    </w:p>
    <w:p w14:paraId="5E0A0A2A" w14:textId="77777777" w:rsidR="0016586A" w:rsidRPr="0052109D" w:rsidRDefault="0016586A" w:rsidP="0016586A">
      <w:pPr>
        <w:jc w:val="center"/>
        <w:rPr>
          <w:sz w:val="22"/>
          <w:szCs w:val="22"/>
        </w:rPr>
      </w:pPr>
      <w:r w:rsidRPr="0052109D">
        <w:rPr>
          <w:sz w:val="22"/>
          <w:szCs w:val="22"/>
        </w:rPr>
        <w:t>Hampton Facility</w:t>
      </w:r>
    </w:p>
    <w:p w14:paraId="4234D615" w14:textId="77777777" w:rsidR="0016586A" w:rsidRPr="0052109D" w:rsidRDefault="0016586A" w:rsidP="0016586A">
      <w:pPr>
        <w:widowControl w:val="0"/>
        <w:jc w:val="center"/>
        <w:rPr>
          <w:sz w:val="22"/>
          <w:szCs w:val="22"/>
        </w:rPr>
      </w:pPr>
      <w:r w:rsidRPr="0052109D">
        <w:rPr>
          <w:sz w:val="22"/>
          <w:szCs w:val="22"/>
        </w:rPr>
        <w:t>Facility ID No. 0070004</w:t>
      </w:r>
    </w:p>
    <w:p w14:paraId="530310DB" w14:textId="77777777" w:rsidR="00194AA6" w:rsidRPr="00D41481" w:rsidRDefault="00194AA6" w:rsidP="00176B64">
      <w:pPr>
        <w:widowControl w:val="0"/>
        <w:jc w:val="center"/>
        <w:rPr>
          <w:sz w:val="22"/>
          <w:szCs w:val="22"/>
        </w:rPr>
      </w:pPr>
    </w:p>
    <w:p w14:paraId="37AA715C" w14:textId="77777777" w:rsidR="00194AA6" w:rsidRPr="00D41481" w:rsidRDefault="00194AA6" w:rsidP="00194AA6">
      <w:pPr>
        <w:jc w:val="center"/>
        <w:rPr>
          <w:sz w:val="22"/>
          <w:szCs w:val="22"/>
        </w:rPr>
      </w:pPr>
    </w:p>
    <w:p w14:paraId="20CB9B0F" w14:textId="77777777" w:rsidR="00193F10" w:rsidRPr="00D41481" w:rsidRDefault="00193F10" w:rsidP="00194AA6">
      <w:pPr>
        <w:pStyle w:val="Heading4"/>
        <w:spacing w:after="120"/>
        <w:rPr>
          <w:bCs/>
          <w:szCs w:val="22"/>
        </w:rPr>
      </w:pPr>
      <w:r w:rsidRPr="00D41481">
        <w:rPr>
          <w:bCs/>
          <w:szCs w:val="22"/>
        </w:rPr>
        <w:t>PROJECT</w:t>
      </w:r>
    </w:p>
    <w:p w14:paraId="3E08509D" w14:textId="5ECE38D8" w:rsidR="00193F10" w:rsidRPr="00D41481" w:rsidRDefault="00193F10" w:rsidP="00194AA6">
      <w:pPr>
        <w:pStyle w:val="Heading1"/>
        <w:spacing w:after="0"/>
        <w:ind w:left="0"/>
        <w:jc w:val="center"/>
        <w:rPr>
          <w:sz w:val="22"/>
          <w:szCs w:val="22"/>
        </w:rPr>
      </w:pPr>
      <w:r w:rsidRPr="00D41481">
        <w:rPr>
          <w:sz w:val="22"/>
          <w:szCs w:val="22"/>
        </w:rPr>
        <w:t>P</w:t>
      </w:r>
      <w:r w:rsidR="00194AA6" w:rsidRPr="00D41481">
        <w:rPr>
          <w:sz w:val="22"/>
          <w:szCs w:val="22"/>
        </w:rPr>
        <w:t>roject</w:t>
      </w:r>
      <w:r w:rsidRPr="00D41481">
        <w:rPr>
          <w:sz w:val="22"/>
          <w:szCs w:val="22"/>
        </w:rPr>
        <w:t xml:space="preserve"> No. </w:t>
      </w:r>
      <w:r w:rsidR="0016586A">
        <w:rPr>
          <w:sz w:val="22"/>
          <w:szCs w:val="22"/>
        </w:rPr>
        <w:t>0070004-025</w:t>
      </w:r>
      <w:r w:rsidR="007B0FA8" w:rsidRPr="00D41481">
        <w:rPr>
          <w:sz w:val="22"/>
          <w:szCs w:val="22"/>
        </w:rPr>
        <w:t>-AC</w:t>
      </w:r>
    </w:p>
    <w:p w14:paraId="61B85B86" w14:textId="77777777" w:rsidR="00193F10" w:rsidRPr="00D41481" w:rsidRDefault="00193F10" w:rsidP="00194AA6">
      <w:pPr>
        <w:jc w:val="center"/>
        <w:rPr>
          <w:sz w:val="22"/>
          <w:szCs w:val="22"/>
        </w:rPr>
      </w:pPr>
    </w:p>
    <w:p w14:paraId="789C14F8" w14:textId="77777777" w:rsidR="00193F10" w:rsidRPr="00D41481" w:rsidRDefault="00193F10" w:rsidP="00194AA6">
      <w:pPr>
        <w:jc w:val="center"/>
        <w:rPr>
          <w:sz w:val="22"/>
          <w:szCs w:val="22"/>
        </w:rPr>
      </w:pPr>
    </w:p>
    <w:p w14:paraId="16DD6083" w14:textId="77777777" w:rsidR="00193F10" w:rsidRPr="00D41481" w:rsidRDefault="00193F10" w:rsidP="00194AA6">
      <w:pPr>
        <w:pStyle w:val="Heading4"/>
        <w:spacing w:after="120"/>
        <w:rPr>
          <w:bCs/>
          <w:szCs w:val="22"/>
        </w:rPr>
      </w:pPr>
      <w:r w:rsidRPr="00D41481">
        <w:rPr>
          <w:bCs/>
          <w:szCs w:val="22"/>
        </w:rPr>
        <w:t>COUNTY</w:t>
      </w:r>
    </w:p>
    <w:p w14:paraId="45CC4327" w14:textId="28E697CB" w:rsidR="00193F10" w:rsidRPr="00D41481" w:rsidRDefault="0016586A" w:rsidP="00194AA6">
      <w:pPr>
        <w:jc w:val="center"/>
        <w:rPr>
          <w:sz w:val="22"/>
          <w:szCs w:val="22"/>
        </w:rPr>
      </w:pPr>
      <w:r>
        <w:rPr>
          <w:sz w:val="22"/>
          <w:szCs w:val="22"/>
        </w:rPr>
        <w:t xml:space="preserve">Bradford </w:t>
      </w:r>
      <w:r w:rsidR="001C1358">
        <w:rPr>
          <w:sz w:val="22"/>
          <w:szCs w:val="22"/>
        </w:rPr>
        <w:t>County</w:t>
      </w:r>
      <w:r w:rsidR="001D487F" w:rsidRPr="00D41481">
        <w:rPr>
          <w:sz w:val="22"/>
          <w:szCs w:val="22"/>
        </w:rPr>
        <w:t xml:space="preserve"> Florida</w:t>
      </w:r>
    </w:p>
    <w:p w14:paraId="4EBC87AA" w14:textId="77777777" w:rsidR="00193F10" w:rsidRPr="00D41481" w:rsidRDefault="00193F10" w:rsidP="00194AA6">
      <w:pPr>
        <w:jc w:val="center"/>
        <w:rPr>
          <w:sz w:val="22"/>
          <w:szCs w:val="22"/>
          <w:u w:val="single"/>
        </w:rPr>
      </w:pPr>
    </w:p>
    <w:p w14:paraId="31AD730E" w14:textId="77777777" w:rsidR="00193F10" w:rsidRPr="00D41481" w:rsidRDefault="00193F10" w:rsidP="00194AA6">
      <w:pPr>
        <w:jc w:val="center"/>
        <w:rPr>
          <w:sz w:val="22"/>
          <w:szCs w:val="22"/>
        </w:rPr>
      </w:pPr>
    </w:p>
    <w:p w14:paraId="6623A1F2" w14:textId="77777777" w:rsidR="00193F10" w:rsidRPr="00D41481" w:rsidRDefault="00193F10" w:rsidP="00194AA6">
      <w:pPr>
        <w:pStyle w:val="Heading8"/>
        <w:jc w:val="center"/>
        <w:rPr>
          <w:szCs w:val="22"/>
        </w:rPr>
      </w:pPr>
      <w:r w:rsidRPr="00D41481">
        <w:rPr>
          <w:szCs w:val="22"/>
        </w:rPr>
        <w:t>PERMITTING</w:t>
      </w:r>
      <w:r w:rsidR="001D487F" w:rsidRPr="00D41481">
        <w:rPr>
          <w:szCs w:val="22"/>
        </w:rPr>
        <w:t xml:space="preserve"> </w:t>
      </w:r>
      <w:r w:rsidRPr="00D41481">
        <w:rPr>
          <w:szCs w:val="22"/>
        </w:rPr>
        <w:t>AUTHORITY</w:t>
      </w:r>
    </w:p>
    <w:p w14:paraId="0008B428" w14:textId="77777777" w:rsidR="00194AA6" w:rsidRPr="00D41481" w:rsidRDefault="00194AA6" w:rsidP="00194AA6">
      <w:pPr>
        <w:widowControl w:val="0"/>
        <w:jc w:val="center"/>
        <w:rPr>
          <w:sz w:val="22"/>
          <w:szCs w:val="22"/>
        </w:rPr>
      </w:pPr>
      <w:r w:rsidRPr="00D41481">
        <w:rPr>
          <w:sz w:val="22"/>
          <w:szCs w:val="22"/>
        </w:rPr>
        <w:t>Florida Department of Environmental Protection</w:t>
      </w:r>
    </w:p>
    <w:p w14:paraId="68F423F1" w14:textId="5E42C517" w:rsidR="00194AA6" w:rsidRPr="00D41481" w:rsidRDefault="00CD16AC" w:rsidP="00194AA6">
      <w:pPr>
        <w:widowControl w:val="0"/>
        <w:jc w:val="center"/>
        <w:rPr>
          <w:sz w:val="22"/>
          <w:szCs w:val="22"/>
        </w:rPr>
      </w:pPr>
      <w:r>
        <w:rPr>
          <w:sz w:val="22"/>
          <w:szCs w:val="22"/>
        </w:rPr>
        <w:t xml:space="preserve">Permitting Program, </w:t>
      </w:r>
      <w:r w:rsidR="00E40CFF" w:rsidRPr="00D41481">
        <w:rPr>
          <w:sz w:val="22"/>
          <w:szCs w:val="22"/>
        </w:rPr>
        <w:t>Northeast District Office</w:t>
      </w:r>
    </w:p>
    <w:p w14:paraId="06604BC0" w14:textId="77777777" w:rsidR="00194AA6" w:rsidRPr="00D41481" w:rsidRDefault="006309D1" w:rsidP="00194AA6">
      <w:pPr>
        <w:widowControl w:val="0"/>
        <w:jc w:val="center"/>
        <w:rPr>
          <w:sz w:val="22"/>
          <w:szCs w:val="22"/>
        </w:rPr>
      </w:pPr>
      <w:r w:rsidRPr="00D41481">
        <w:rPr>
          <w:sz w:val="22"/>
          <w:szCs w:val="22"/>
        </w:rPr>
        <w:t>8800</w:t>
      </w:r>
      <w:r w:rsidR="00E40CFF" w:rsidRPr="00D41481">
        <w:rPr>
          <w:sz w:val="22"/>
          <w:szCs w:val="22"/>
        </w:rPr>
        <w:t xml:space="preserve"> Baymeadows Way</w:t>
      </w:r>
      <w:r w:rsidRPr="00D41481">
        <w:rPr>
          <w:sz w:val="22"/>
          <w:szCs w:val="22"/>
        </w:rPr>
        <w:t xml:space="preserve"> West</w:t>
      </w:r>
      <w:r w:rsidR="00E40CFF" w:rsidRPr="00D41481">
        <w:rPr>
          <w:sz w:val="22"/>
          <w:szCs w:val="22"/>
        </w:rPr>
        <w:t xml:space="preserve">, Suite </w:t>
      </w:r>
      <w:r w:rsidRPr="00D41481">
        <w:rPr>
          <w:sz w:val="22"/>
          <w:szCs w:val="22"/>
        </w:rPr>
        <w:t>100</w:t>
      </w:r>
    </w:p>
    <w:p w14:paraId="3746A7E4" w14:textId="77777777" w:rsidR="00194AA6" w:rsidRPr="00D41481" w:rsidRDefault="00E40CFF" w:rsidP="00194AA6">
      <w:pPr>
        <w:widowControl w:val="0"/>
        <w:jc w:val="center"/>
        <w:rPr>
          <w:sz w:val="22"/>
          <w:szCs w:val="22"/>
        </w:rPr>
      </w:pPr>
      <w:r w:rsidRPr="00D41481">
        <w:rPr>
          <w:sz w:val="22"/>
          <w:szCs w:val="22"/>
        </w:rPr>
        <w:t>Jacksonville</w:t>
      </w:r>
      <w:r w:rsidR="00194AA6" w:rsidRPr="00D41481">
        <w:rPr>
          <w:sz w:val="22"/>
          <w:szCs w:val="22"/>
        </w:rPr>
        <w:t>, Florida  32</w:t>
      </w:r>
      <w:r w:rsidRPr="00D41481">
        <w:rPr>
          <w:sz w:val="22"/>
          <w:szCs w:val="22"/>
        </w:rPr>
        <w:t>256</w:t>
      </w:r>
    </w:p>
    <w:p w14:paraId="2CA3B6F0" w14:textId="77777777" w:rsidR="00193F10" w:rsidRPr="00D41481" w:rsidRDefault="00193F10" w:rsidP="00194AA6">
      <w:pPr>
        <w:jc w:val="center"/>
        <w:rPr>
          <w:sz w:val="22"/>
          <w:szCs w:val="22"/>
        </w:rPr>
      </w:pPr>
    </w:p>
    <w:p w14:paraId="1FADD840" w14:textId="77777777" w:rsidR="00193F10" w:rsidRPr="00D41481" w:rsidRDefault="00193F10" w:rsidP="00194AA6">
      <w:pPr>
        <w:jc w:val="center"/>
        <w:rPr>
          <w:sz w:val="22"/>
          <w:szCs w:val="22"/>
        </w:rPr>
      </w:pPr>
    </w:p>
    <w:p w14:paraId="6B4DD887" w14:textId="77777777" w:rsidR="00356D3D" w:rsidRPr="00D41481" w:rsidRDefault="00356D3D" w:rsidP="00356D3D">
      <w:pPr>
        <w:pStyle w:val="Heading8"/>
        <w:jc w:val="center"/>
        <w:rPr>
          <w:szCs w:val="22"/>
        </w:rPr>
      </w:pPr>
      <w:r>
        <w:rPr>
          <w:szCs w:val="22"/>
        </w:rPr>
        <w:t>compliance</w:t>
      </w:r>
      <w:r w:rsidRPr="00D41481">
        <w:rPr>
          <w:szCs w:val="22"/>
        </w:rPr>
        <w:t xml:space="preserve"> AUTHORITY</w:t>
      </w:r>
    </w:p>
    <w:p w14:paraId="522CC92E" w14:textId="47D3A618" w:rsidR="003972A6" w:rsidRPr="003972A6" w:rsidRDefault="00CD16AC" w:rsidP="003972A6">
      <w:pPr>
        <w:jc w:val="center"/>
        <w:rPr>
          <w:sz w:val="22"/>
          <w:szCs w:val="22"/>
        </w:rPr>
      </w:pPr>
      <w:r>
        <w:rPr>
          <w:sz w:val="22"/>
          <w:szCs w:val="22"/>
        </w:rPr>
        <w:t xml:space="preserve">Florida </w:t>
      </w:r>
      <w:r w:rsidR="003972A6" w:rsidRPr="003972A6">
        <w:rPr>
          <w:sz w:val="22"/>
          <w:szCs w:val="22"/>
        </w:rPr>
        <w:t>Department of Environmental Protection</w:t>
      </w:r>
    </w:p>
    <w:p w14:paraId="1B2EC247" w14:textId="77777777" w:rsidR="003972A6" w:rsidRPr="003972A6" w:rsidRDefault="003972A6" w:rsidP="003972A6">
      <w:pPr>
        <w:jc w:val="center"/>
        <w:rPr>
          <w:sz w:val="22"/>
          <w:szCs w:val="22"/>
        </w:rPr>
      </w:pPr>
      <w:r w:rsidRPr="003972A6">
        <w:rPr>
          <w:sz w:val="22"/>
          <w:szCs w:val="22"/>
        </w:rPr>
        <w:t>Compliance Assurance, Northeast District</w:t>
      </w:r>
    </w:p>
    <w:p w14:paraId="6BDFEC17" w14:textId="77777777" w:rsidR="003972A6" w:rsidRPr="003972A6" w:rsidRDefault="003972A6" w:rsidP="003972A6">
      <w:pPr>
        <w:jc w:val="center"/>
        <w:rPr>
          <w:sz w:val="22"/>
          <w:szCs w:val="22"/>
        </w:rPr>
      </w:pPr>
      <w:r w:rsidRPr="003972A6">
        <w:rPr>
          <w:sz w:val="22"/>
          <w:szCs w:val="22"/>
        </w:rPr>
        <w:t>8800 Baymeadows Way West, Suite 100</w:t>
      </w:r>
    </w:p>
    <w:p w14:paraId="08712771" w14:textId="77777777" w:rsidR="003972A6" w:rsidRPr="003972A6" w:rsidRDefault="003972A6" w:rsidP="003972A6">
      <w:pPr>
        <w:spacing w:after="120"/>
        <w:jc w:val="center"/>
        <w:rPr>
          <w:sz w:val="22"/>
          <w:szCs w:val="22"/>
        </w:rPr>
      </w:pPr>
      <w:r w:rsidRPr="003972A6">
        <w:rPr>
          <w:sz w:val="22"/>
          <w:szCs w:val="22"/>
        </w:rPr>
        <w:t>Jacksonville, Florida  32256-7590</w:t>
      </w:r>
    </w:p>
    <w:p w14:paraId="7802E1E7" w14:textId="77777777" w:rsidR="003972A6" w:rsidRPr="003972A6" w:rsidRDefault="003972A6" w:rsidP="003972A6">
      <w:pPr>
        <w:jc w:val="center"/>
        <w:outlineLvl w:val="0"/>
        <w:rPr>
          <w:sz w:val="22"/>
          <w:szCs w:val="22"/>
        </w:rPr>
      </w:pPr>
      <w:r w:rsidRPr="003972A6">
        <w:rPr>
          <w:sz w:val="22"/>
          <w:szCs w:val="22"/>
        </w:rPr>
        <w:t>Telephone:  (904) 256-1700</w:t>
      </w:r>
    </w:p>
    <w:p w14:paraId="21A1628A" w14:textId="77777777" w:rsidR="003972A6" w:rsidRPr="003972A6" w:rsidRDefault="003972A6" w:rsidP="003972A6">
      <w:pPr>
        <w:jc w:val="center"/>
        <w:rPr>
          <w:sz w:val="22"/>
          <w:szCs w:val="22"/>
        </w:rPr>
      </w:pPr>
      <w:r w:rsidRPr="003972A6">
        <w:rPr>
          <w:sz w:val="22"/>
          <w:szCs w:val="22"/>
        </w:rPr>
        <w:t>Fax:  (904) 256-1590</w:t>
      </w:r>
    </w:p>
    <w:p w14:paraId="3350312E" w14:textId="4813A899" w:rsidR="00356D3D" w:rsidRPr="00D41481" w:rsidRDefault="00356D3D" w:rsidP="00356D3D">
      <w:pPr>
        <w:widowControl w:val="0"/>
        <w:jc w:val="center"/>
        <w:rPr>
          <w:sz w:val="22"/>
          <w:szCs w:val="22"/>
        </w:rPr>
      </w:pPr>
    </w:p>
    <w:p w14:paraId="6B9722B9" w14:textId="13248508" w:rsidR="00193F10" w:rsidRPr="00D41481" w:rsidRDefault="004E0C80" w:rsidP="00194AA6">
      <w:pPr>
        <w:jc w:val="center"/>
        <w:rPr>
          <w:sz w:val="22"/>
          <w:szCs w:val="22"/>
        </w:rPr>
      </w:pPr>
      <w:r>
        <w:rPr>
          <w:sz w:val="22"/>
          <w:szCs w:val="22"/>
        </w:rPr>
        <w:t>Novemb</w:t>
      </w:r>
      <w:r w:rsidR="0016586A">
        <w:rPr>
          <w:sz w:val="22"/>
          <w:szCs w:val="22"/>
        </w:rPr>
        <w:t xml:space="preserve">er </w:t>
      </w:r>
      <w:r w:rsidR="00633616" w:rsidRPr="00633616">
        <w:rPr>
          <w:sz w:val="22"/>
          <w:szCs w:val="22"/>
        </w:rPr>
        <w:t>17</w:t>
      </w:r>
      <w:r w:rsidR="001C1358" w:rsidRPr="00633616">
        <w:rPr>
          <w:sz w:val="22"/>
          <w:szCs w:val="22"/>
        </w:rPr>
        <w:t>,</w:t>
      </w:r>
      <w:r w:rsidR="001C1358">
        <w:rPr>
          <w:sz w:val="22"/>
          <w:szCs w:val="22"/>
        </w:rPr>
        <w:t xml:space="preserve"> 2015</w:t>
      </w:r>
    </w:p>
    <w:p w14:paraId="201BF4C4" w14:textId="77777777" w:rsidR="005079ED" w:rsidRDefault="005079ED">
      <w:pPr>
        <w:jc w:val="center"/>
        <w:rPr>
          <w:b/>
          <w:sz w:val="22"/>
          <w:szCs w:val="22"/>
        </w:rPr>
      </w:pPr>
    </w:p>
    <w:p w14:paraId="1BED1C77" w14:textId="5A7509C5" w:rsidR="00F215E8" w:rsidRPr="005079ED" w:rsidRDefault="00F215E8">
      <w:pPr>
        <w:jc w:val="center"/>
        <w:rPr>
          <w:b/>
          <w:sz w:val="22"/>
          <w:szCs w:val="22"/>
        </w:rPr>
        <w:sectPr w:rsidR="00F215E8" w:rsidRPr="005079ED">
          <w:headerReference w:type="even" r:id="rId8"/>
          <w:headerReference w:type="default" r:id="rId9"/>
          <w:footerReference w:type="even" r:id="rId10"/>
          <w:footerReference w:type="default" r:id="rId11"/>
          <w:headerReference w:type="first" r:id="rId12"/>
          <w:footerReference w:type="first" r:id="rId13"/>
          <w:pgSz w:w="12240" w:h="15840" w:code="1"/>
          <w:pgMar w:top="720" w:right="1152" w:bottom="720" w:left="1152" w:header="720" w:footer="720" w:gutter="0"/>
          <w:paperSrc w:first="7" w:other="7"/>
          <w:pgNumType w:start="1"/>
          <w:cols w:space="720"/>
        </w:sectPr>
      </w:pPr>
      <w:r>
        <w:rPr>
          <w:b/>
          <w:sz w:val="22"/>
          <w:szCs w:val="22"/>
        </w:rPr>
        <w:t xml:space="preserve">Revised December </w:t>
      </w:r>
      <w:r w:rsidR="002B1F68">
        <w:rPr>
          <w:b/>
          <w:sz w:val="22"/>
          <w:szCs w:val="22"/>
        </w:rPr>
        <w:t>15</w:t>
      </w:r>
      <w:r>
        <w:rPr>
          <w:b/>
          <w:sz w:val="22"/>
          <w:szCs w:val="22"/>
        </w:rPr>
        <w:t>, 2015</w:t>
      </w:r>
    </w:p>
    <w:p w14:paraId="6E92B349" w14:textId="77777777" w:rsidR="00EA4BCF" w:rsidRPr="00BE6E8B" w:rsidRDefault="00EA4BCF" w:rsidP="00E5288F">
      <w:pPr>
        <w:pStyle w:val="ListParagraph"/>
        <w:numPr>
          <w:ilvl w:val="0"/>
          <w:numId w:val="14"/>
        </w:numPr>
        <w:spacing w:after="120"/>
        <w:ind w:left="360"/>
        <w:rPr>
          <w:b/>
          <w:caps/>
          <w:sz w:val="22"/>
        </w:rPr>
      </w:pPr>
      <w:r w:rsidRPr="00BE6E8B">
        <w:rPr>
          <w:b/>
          <w:caps/>
          <w:sz w:val="22"/>
        </w:rPr>
        <w:lastRenderedPageBreak/>
        <w:t>General Project INFORMATION</w:t>
      </w:r>
    </w:p>
    <w:p w14:paraId="6BF7A030" w14:textId="77777777" w:rsidR="00940582" w:rsidRPr="00083B17" w:rsidRDefault="00940582" w:rsidP="00E5288F">
      <w:pPr>
        <w:pStyle w:val="BodyText"/>
        <w:rPr>
          <w:b/>
          <w:szCs w:val="24"/>
        </w:rPr>
      </w:pPr>
      <w:r w:rsidRPr="00083B17">
        <w:rPr>
          <w:b/>
          <w:szCs w:val="24"/>
        </w:rPr>
        <w:t>Glossary of Common Terms</w:t>
      </w:r>
    </w:p>
    <w:p w14:paraId="15C94521" w14:textId="77777777" w:rsidR="00940582" w:rsidRPr="00D41481" w:rsidRDefault="00940582" w:rsidP="00E5288F">
      <w:pPr>
        <w:pStyle w:val="BodyText"/>
        <w:spacing w:before="120"/>
        <w:rPr>
          <w:bCs/>
          <w:color w:val="000000"/>
          <w:sz w:val="22"/>
          <w:szCs w:val="22"/>
        </w:rPr>
      </w:pPr>
      <w:r w:rsidRPr="00D41481">
        <w:rPr>
          <w:sz w:val="22"/>
          <w:szCs w:val="22"/>
        </w:rPr>
        <w:t xml:space="preserve">Because of the technical nature of the project, the permit contains numerous acronyms and abbreviations, which are defined in Appendix A of </w:t>
      </w:r>
      <w:r w:rsidRPr="00D41481">
        <w:rPr>
          <w:bCs/>
          <w:color w:val="000000"/>
          <w:sz w:val="22"/>
          <w:szCs w:val="22"/>
        </w:rPr>
        <w:t xml:space="preserve">the draft permit distributed with this </w:t>
      </w:r>
      <w:r>
        <w:rPr>
          <w:bCs/>
          <w:color w:val="000000"/>
          <w:sz w:val="22"/>
          <w:szCs w:val="22"/>
        </w:rPr>
        <w:t xml:space="preserve">technical </w:t>
      </w:r>
      <w:r w:rsidRPr="00D41481">
        <w:rPr>
          <w:bCs/>
          <w:color w:val="000000"/>
          <w:sz w:val="22"/>
          <w:szCs w:val="22"/>
        </w:rPr>
        <w:t>evaluation.</w:t>
      </w:r>
    </w:p>
    <w:p w14:paraId="4A278378" w14:textId="77777777" w:rsidR="00940582" w:rsidRPr="00083B17" w:rsidRDefault="00940582" w:rsidP="00940582">
      <w:pPr>
        <w:pStyle w:val="Default"/>
        <w:spacing w:after="120"/>
        <w:rPr>
          <w:b/>
          <w:bCs/>
        </w:rPr>
      </w:pPr>
      <w:r>
        <w:rPr>
          <w:b/>
          <w:bCs/>
        </w:rPr>
        <w:t>1.1</w:t>
      </w:r>
      <w:r>
        <w:rPr>
          <w:b/>
          <w:bCs/>
        </w:rPr>
        <w:tab/>
      </w:r>
      <w:r w:rsidRPr="00083B17">
        <w:rPr>
          <w:b/>
          <w:bCs/>
        </w:rPr>
        <w:t>Facility Description and Location</w:t>
      </w:r>
    </w:p>
    <w:p w14:paraId="1A9CAAA3" w14:textId="77777777" w:rsidR="00EF060E" w:rsidRDefault="00940582" w:rsidP="00EF060E">
      <w:pPr>
        <w:spacing w:after="120"/>
        <w:rPr>
          <w:bCs/>
          <w:sz w:val="22"/>
          <w:szCs w:val="22"/>
        </w:rPr>
      </w:pPr>
      <w:r w:rsidRPr="00940582">
        <w:rPr>
          <w:sz w:val="22"/>
          <w:szCs w:val="22"/>
        </w:rPr>
        <w:t xml:space="preserve">Griffin Industries of Florida is an existing animal/poultry byproducts rendering, used cooking oil and grease trap processing, and Secondary Protein Nutrient (SPN) fines process plant, which is categorized under </w:t>
      </w:r>
      <w:r w:rsidRPr="00940582">
        <w:rPr>
          <w:bCs/>
          <w:sz w:val="22"/>
          <w:szCs w:val="22"/>
        </w:rPr>
        <w:t xml:space="preserve">Standard Industrial Classification Code No. </w:t>
      </w:r>
      <w:r w:rsidRPr="00940582">
        <w:rPr>
          <w:sz w:val="22"/>
          <w:szCs w:val="22"/>
        </w:rPr>
        <w:t>2077</w:t>
      </w:r>
      <w:r w:rsidRPr="00940582">
        <w:rPr>
          <w:bCs/>
          <w:sz w:val="22"/>
          <w:szCs w:val="22"/>
        </w:rPr>
        <w:t xml:space="preserve">. </w:t>
      </w:r>
    </w:p>
    <w:p w14:paraId="35647E1D" w14:textId="77777777" w:rsidR="00EF060E" w:rsidRPr="00EF060E" w:rsidRDefault="00EF060E" w:rsidP="00EF060E">
      <w:pPr>
        <w:rPr>
          <w:bCs/>
          <w:sz w:val="22"/>
          <w:szCs w:val="22"/>
        </w:rPr>
      </w:pPr>
      <w:r w:rsidRPr="00EF060E">
        <w:rPr>
          <w:bCs/>
          <w:sz w:val="22"/>
          <w:szCs w:val="22"/>
        </w:rPr>
        <w:t>The operations include four (4) active fossil fuel fired steam generators (boilers), a waste heat evaporator, feather rendering system, a blood processing system, two (2) animal/poultry byproducts rendering systems, and a SPN Fines Solvent Extraction Process, a cooking oil and grease processing system, an emergency diesel generator, and an onsite biological wastewater treatment and land application system.</w:t>
      </w:r>
    </w:p>
    <w:p w14:paraId="128881B4" w14:textId="77777777" w:rsidR="00EF060E" w:rsidRDefault="00EF060E" w:rsidP="00940582">
      <w:pPr>
        <w:rPr>
          <w:bCs/>
          <w:sz w:val="22"/>
          <w:szCs w:val="22"/>
        </w:rPr>
      </w:pPr>
    </w:p>
    <w:p w14:paraId="38F39B62" w14:textId="77777777" w:rsidR="00EF060E" w:rsidRPr="009C78A2" w:rsidRDefault="00EF060E" w:rsidP="00EF060E">
      <w:pPr>
        <w:widowControl w:val="0"/>
        <w:spacing w:after="240"/>
        <w:rPr>
          <w:sz w:val="22"/>
          <w:szCs w:val="22"/>
          <w:u w:val="single"/>
        </w:rPr>
      </w:pPr>
      <w:r w:rsidRPr="009C78A2">
        <w:rPr>
          <w:sz w:val="22"/>
          <w:szCs w:val="22"/>
          <w:u w:val="single"/>
        </w:rPr>
        <w:t>Fossil Fuel Steam Generators</w:t>
      </w:r>
    </w:p>
    <w:p w14:paraId="749CD823" w14:textId="77777777" w:rsidR="00EF060E" w:rsidRPr="009C78A2" w:rsidRDefault="00EF060E" w:rsidP="00EF060E">
      <w:pPr>
        <w:autoSpaceDE w:val="0"/>
        <w:autoSpaceDN w:val="0"/>
        <w:adjustRightInd w:val="0"/>
        <w:spacing w:after="120"/>
        <w:rPr>
          <w:sz w:val="22"/>
          <w:szCs w:val="22"/>
        </w:rPr>
      </w:pPr>
      <w:r w:rsidRPr="009C78A2">
        <w:rPr>
          <w:sz w:val="22"/>
          <w:szCs w:val="22"/>
        </w:rPr>
        <w:t xml:space="preserve">Boilers No. 1 (EU 006), No. 2 (EU 007) and No. 3 (EU 008) generate steam for process heat associated with the rendering and processing activities. </w:t>
      </w:r>
      <w:r>
        <w:rPr>
          <w:sz w:val="22"/>
          <w:szCs w:val="22"/>
        </w:rPr>
        <w:t>EU 006 and EU 007</w:t>
      </w:r>
      <w:r w:rsidRPr="009C78A2">
        <w:rPr>
          <w:sz w:val="22"/>
          <w:szCs w:val="22"/>
        </w:rPr>
        <w:t xml:space="preserve"> each have a maximum heat input rate of 33.5 million British thermal units per hour (MMBtu/hr) and </w:t>
      </w:r>
      <w:r>
        <w:rPr>
          <w:sz w:val="22"/>
          <w:szCs w:val="22"/>
        </w:rPr>
        <w:t>EU 008</w:t>
      </w:r>
      <w:r w:rsidRPr="009C78A2">
        <w:rPr>
          <w:sz w:val="22"/>
          <w:szCs w:val="22"/>
        </w:rPr>
        <w:t xml:space="preserve"> has a maximum heat input rate of 32.7 MMBtu/hr.  These boilers are authorized to fire natural gas, No. 2 fuel oil, ultra</w:t>
      </w:r>
      <w:r w:rsidRPr="009C78A2">
        <w:rPr>
          <w:rFonts w:ascii="Cambria Math" w:hAnsi="Cambria Math" w:cs="Cambria Math"/>
          <w:sz w:val="22"/>
          <w:szCs w:val="22"/>
        </w:rPr>
        <w:t>‐</w:t>
      </w:r>
      <w:r w:rsidRPr="009C78A2">
        <w:rPr>
          <w:sz w:val="22"/>
          <w:szCs w:val="22"/>
        </w:rPr>
        <w:t xml:space="preserve">low sulfur diesel (ULSD), No. 6 fuel oil, on-specification used oil, and processed grease.   </w:t>
      </w:r>
    </w:p>
    <w:p w14:paraId="401CB93E" w14:textId="77777777" w:rsidR="00EF060E" w:rsidRPr="009C78A2" w:rsidRDefault="00EF060E" w:rsidP="00EF060E">
      <w:pPr>
        <w:autoSpaceDE w:val="0"/>
        <w:autoSpaceDN w:val="0"/>
        <w:adjustRightInd w:val="0"/>
        <w:rPr>
          <w:bCs/>
          <w:sz w:val="22"/>
          <w:szCs w:val="22"/>
        </w:rPr>
      </w:pPr>
      <w:r w:rsidRPr="009C78A2">
        <w:rPr>
          <w:sz w:val="22"/>
          <w:szCs w:val="22"/>
        </w:rPr>
        <w:t xml:space="preserve">Boiler No. 4 (EU 017) provides steam solely for the </w:t>
      </w:r>
      <w:r>
        <w:rPr>
          <w:sz w:val="22"/>
          <w:szCs w:val="22"/>
        </w:rPr>
        <w:t>Secondary Protein Nutrient (</w:t>
      </w:r>
      <w:r w:rsidRPr="009C78A2">
        <w:rPr>
          <w:sz w:val="22"/>
          <w:szCs w:val="22"/>
        </w:rPr>
        <w:t>SPN</w:t>
      </w:r>
      <w:r>
        <w:rPr>
          <w:sz w:val="22"/>
          <w:szCs w:val="22"/>
        </w:rPr>
        <w:t>)</w:t>
      </w:r>
      <w:r w:rsidRPr="009C78A2">
        <w:rPr>
          <w:sz w:val="22"/>
          <w:szCs w:val="22"/>
        </w:rPr>
        <w:t xml:space="preserve"> Solvent Extraction Process. </w:t>
      </w:r>
      <w:r>
        <w:rPr>
          <w:sz w:val="22"/>
          <w:szCs w:val="22"/>
        </w:rPr>
        <w:t>EU 017</w:t>
      </w:r>
      <w:r w:rsidRPr="009C78A2">
        <w:rPr>
          <w:sz w:val="22"/>
          <w:szCs w:val="22"/>
        </w:rPr>
        <w:t xml:space="preserve"> has a maximum heat input rate of 9.9 MMBtu/hr</w:t>
      </w:r>
      <w:r>
        <w:rPr>
          <w:sz w:val="22"/>
          <w:szCs w:val="22"/>
        </w:rPr>
        <w:t xml:space="preserve"> and </w:t>
      </w:r>
      <w:r w:rsidRPr="009C78A2">
        <w:rPr>
          <w:sz w:val="22"/>
          <w:szCs w:val="22"/>
        </w:rPr>
        <w:t xml:space="preserve">is authorized to fire natural gas, No. 2 fuel oil, ULSD, on-specification used oil and processed grease.   </w:t>
      </w:r>
    </w:p>
    <w:p w14:paraId="28FB432F" w14:textId="77777777" w:rsidR="00EF060E" w:rsidRPr="009C78A2" w:rsidRDefault="00EF060E" w:rsidP="00EF060E">
      <w:pPr>
        <w:autoSpaceDE w:val="0"/>
        <w:autoSpaceDN w:val="0"/>
        <w:adjustRightInd w:val="0"/>
        <w:rPr>
          <w:sz w:val="22"/>
          <w:szCs w:val="22"/>
        </w:rPr>
      </w:pPr>
    </w:p>
    <w:p w14:paraId="4A4D3CBD" w14:textId="77777777" w:rsidR="00EF060E" w:rsidRPr="009C78A2" w:rsidRDefault="00EF060E" w:rsidP="00EF060E">
      <w:pPr>
        <w:autoSpaceDE w:val="0"/>
        <w:autoSpaceDN w:val="0"/>
        <w:adjustRightInd w:val="0"/>
        <w:spacing w:after="240"/>
        <w:rPr>
          <w:sz w:val="22"/>
          <w:szCs w:val="22"/>
          <w:u w:val="single"/>
        </w:rPr>
      </w:pPr>
      <w:r w:rsidRPr="009C78A2">
        <w:rPr>
          <w:sz w:val="22"/>
          <w:szCs w:val="22"/>
          <w:u w:val="single"/>
        </w:rPr>
        <w:t>Rendering Operation</w:t>
      </w:r>
    </w:p>
    <w:p w14:paraId="101FF043" w14:textId="478F0ECE" w:rsidR="00EF060E" w:rsidRPr="009C78A2" w:rsidRDefault="00EF060E" w:rsidP="00EF060E">
      <w:pPr>
        <w:autoSpaceDE w:val="0"/>
        <w:autoSpaceDN w:val="0"/>
        <w:adjustRightInd w:val="0"/>
        <w:spacing w:after="120"/>
        <w:rPr>
          <w:color w:val="000000"/>
          <w:sz w:val="22"/>
          <w:szCs w:val="22"/>
        </w:rPr>
      </w:pPr>
      <w:r w:rsidRPr="009C78A2">
        <w:rPr>
          <w:color w:val="000000"/>
          <w:sz w:val="22"/>
          <w:szCs w:val="22"/>
        </w:rPr>
        <w:t xml:space="preserve">The facility also includes a waste heat evaporator, </w:t>
      </w:r>
      <w:r w:rsidR="00B6195B" w:rsidRPr="007C78B5">
        <w:rPr>
          <w:bCs/>
          <w:sz w:val="22"/>
          <w:szCs w:val="22"/>
        </w:rPr>
        <w:t>Feather Protein Conversion Process Line</w:t>
      </w:r>
      <w:r w:rsidRPr="009C78A2">
        <w:rPr>
          <w:color w:val="000000"/>
          <w:sz w:val="22"/>
          <w:szCs w:val="22"/>
        </w:rPr>
        <w:t xml:space="preserve">, and two (2) </w:t>
      </w:r>
      <w:r w:rsidR="00B6195B" w:rsidRPr="005D3469">
        <w:rPr>
          <w:sz w:val="22"/>
          <w:szCs w:val="22"/>
        </w:rPr>
        <w:t>Inedible Animal By</w:t>
      </w:r>
      <w:r w:rsidR="00B6195B" w:rsidRPr="005D3469">
        <w:rPr>
          <w:rFonts w:ascii="Cambria Math" w:hAnsi="Cambria Math" w:cs="Cambria Math"/>
          <w:sz w:val="22"/>
          <w:szCs w:val="22"/>
        </w:rPr>
        <w:t>‐</w:t>
      </w:r>
      <w:r w:rsidR="00B6195B" w:rsidRPr="005D3469">
        <w:rPr>
          <w:sz w:val="22"/>
          <w:szCs w:val="22"/>
        </w:rPr>
        <w:t>products Protein Conversion Process</w:t>
      </w:r>
      <w:r w:rsidR="00B6195B">
        <w:rPr>
          <w:sz w:val="22"/>
          <w:szCs w:val="22"/>
        </w:rPr>
        <w:t>es, Lines #1 and #3</w:t>
      </w:r>
      <w:r w:rsidR="00B6195B">
        <w:rPr>
          <w:color w:val="000000"/>
          <w:sz w:val="22"/>
          <w:szCs w:val="22"/>
        </w:rPr>
        <w:t xml:space="preserve"> (EU 014 and EU 019, respectively</w:t>
      </w:r>
      <w:r w:rsidR="00B6195B" w:rsidRPr="009C78A2">
        <w:rPr>
          <w:color w:val="000000"/>
          <w:sz w:val="22"/>
          <w:szCs w:val="22"/>
        </w:rPr>
        <w:t>)</w:t>
      </w:r>
      <w:r w:rsidRPr="009C78A2">
        <w:rPr>
          <w:color w:val="000000"/>
          <w:sz w:val="22"/>
          <w:szCs w:val="22"/>
        </w:rPr>
        <w:t>. The waste heat evaporator utilizes heat extracted from the steam generated by the cookers to evaporate excess moisture from various liquid products. The continuous rendering system consists of a number of processes that grind, convey, cook, and remove fluids from red meat/poultry inedibles, blood, and poultry feathers.</w:t>
      </w:r>
    </w:p>
    <w:p w14:paraId="3450E666" w14:textId="77777777" w:rsidR="00EF060E" w:rsidRPr="009C78A2" w:rsidRDefault="00EF060E" w:rsidP="00EF060E">
      <w:pPr>
        <w:autoSpaceDE w:val="0"/>
        <w:autoSpaceDN w:val="0"/>
        <w:adjustRightInd w:val="0"/>
        <w:spacing w:after="120"/>
        <w:rPr>
          <w:color w:val="000000"/>
          <w:sz w:val="22"/>
          <w:szCs w:val="22"/>
        </w:rPr>
      </w:pPr>
      <w:r w:rsidRPr="009C78A2">
        <w:rPr>
          <w:color w:val="000000"/>
          <w:sz w:val="22"/>
          <w:szCs w:val="22"/>
        </w:rPr>
        <w:t>Emissions and odors from the red meat byproducts cooker, the poultry byproducts cooker, and the feather dryer in the rendering building are controlled by a 10,000 cubic feet per minute (cfm) Venturi scrubber/packed tower system, and two 40,000 cfm building air scrubbers. The scrubber is installed to control the odor and improve the work environment for the facility operators.</w:t>
      </w:r>
    </w:p>
    <w:p w14:paraId="07A69FCD" w14:textId="77777777" w:rsidR="00EF060E" w:rsidRPr="009C78A2" w:rsidRDefault="00EF060E" w:rsidP="00EF060E">
      <w:pPr>
        <w:autoSpaceDE w:val="0"/>
        <w:autoSpaceDN w:val="0"/>
        <w:adjustRightInd w:val="0"/>
        <w:rPr>
          <w:sz w:val="22"/>
          <w:szCs w:val="22"/>
        </w:rPr>
      </w:pPr>
    </w:p>
    <w:p w14:paraId="1E4D249C" w14:textId="77777777" w:rsidR="00EF060E" w:rsidRPr="009C78A2" w:rsidRDefault="00EF060E" w:rsidP="00EF060E">
      <w:pPr>
        <w:pStyle w:val="BodyText2"/>
        <w:spacing w:after="240"/>
        <w:rPr>
          <w:szCs w:val="22"/>
          <w:u w:val="single"/>
        </w:rPr>
      </w:pPr>
      <w:r w:rsidRPr="009C78A2">
        <w:rPr>
          <w:szCs w:val="22"/>
          <w:u w:val="single"/>
        </w:rPr>
        <w:t>Secondary Protein Nutrient (SPN) Fines Solvent Extraction Process</w:t>
      </w:r>
    </w:p>
    <w:p w14:paraId="108243CD" w14:textId="77777777" w:rsidR="00EF060E" w:rsidRPr="009C78A2" w:rsidRDefault="00EF060E" w:rsidP="00EF060E">
      <w:pPr>
        <w:autoSpaceDE w:val="0"/>
        <w:autoSpaceDN w:val="0"/>
        <w:adjustRightInd w:val="0"/>
        <w:spacing w:after="120"/>
        <w:rPr>
          <w:sz w:val="22"/>
          <w:szCs w:val="22"/>
        </w:rPr>
      </w:pPr>
      <w:r w:rsidRPr="009C78A2">
        <w:rPr>
          <w:sz w:val="22"/>
          <w:szCs w:val="22"/>
        </w:rPr>
        <w:t xml:space="preserve">The SPN Fines Extraction Process enables the facility to extract the remaining oil/fat from residual SPN fines (to separate oil/fat and fines solids into separate marketable materials) currently produced by the Hampton facility and other Griffin facilities. </w:t>
      </w:r>
    </w:p>
    <w:p w14:paraId="706FBBC1" w14:textId="77777777" w:rsidR="00EF060E" w:rsidRDefault="00EF060E" w:rsidP="00EF060E">
      <w:pPr>
        <w:pStyle w:val="BodyText2"/>
        <w:spacing w:after="0"/>
        <w:rPr>
          <w:szCs w:val="22"/>
        </w:rPr>
      </w:pPr>
      <w:r w:rsidRPr="009C78A2">
        <w:rPr>
          <w:szCs w:val="22"/>
        </w:rPr>
        <w:t xml:space="preserve">The process consists of a closed loop system to recover and recycle the solvent used in the extraction process to reduce air pollutants emissions and to minimize solvent costs. The solvent </w:t>
      </w:r>
      <w:r>
        <w:rPr>
          <w:szCs w:val="22"/>
        </w:rPr>
        <w:t>is</w:t>
      </w:r>
      <w:r w:rsidRPr="009C78A2">
        <w:rPr>
          <w:szCs w:val="22"/>
        </w:rPr>
        <w:t xml:space="preserve"> removed from the oil extracted from the SPN fines using a distillation process and condensers. The vapor stream from the process condensers and final condenser, which include some non-condensable vapors, </w:t>
      </w:r>
      <w:r>
        <w:rPr>
          <w:szCs w:val="22"/>
        </w:rPr>
        <w:t>is</w:t>
      </w:r>
      <w:r w:rsidRPr="009C78A2">
        <w:rPr>
          <w:szCs w:val="22"/>
        </w:rPr>
        <w:t xml:space="preserve"> vented to a mineral oil adsorption system for final control and</w:t>
      </w:r>
      <w:r w:rsidRPr="0028314C">
        <w:rPr>
          <w:szCs w:val="22"/>
        </w:rPr>
        <w:t xml:space="preserve"> solvent recovery. </w:t>
      </w:r>
    </w:p>
    <w:p w14:paraId="0982C25E" w14:textId="77777777" w:rsidR="00EF060E" w:rsidRDefault="00EF060E" w:rsidP="00EF060E">
      <w:pPr>
        <w:pStyle w:val="BodyText2"/>
        <w:rPr>
          <w:u w:val="single"/>
        </w:rPr>
      </w:pPr>
    </w:p>
    <w:p w14:paraId="78674F4F" w14:textId="77777777" w:rsidR="00EF060E" w:rsidRPr="0028314C" w:rsidRDefault="00EF060E" w:rsidP="00EF060E">
      <w:pPr>
        <w:pStyle w:val="BodyText2"/>
        <w:spacing w:after="240"/>
        <w:rPr>
          <w:u w:val="single"/>
        </w:rPr>
      </w:pPr>
      <w:r w:rsidRPr="0028314C">
        <w:rPr>
          <w:u w:val="single"/>
        </w:rPr>
        <w:lastRenderedPageBreak/>
        <w:t>Emergency Generator</w:t>
      </w:r>
    </w:p>
    <w:p w14:paraId="19E49063" w14:textId="2E5A8EA0" w:rsidR="00EF060E" w:rsidRPr="00EF060E" w:rsidRDefault="00EF060E" w:rsidP="00EF060E">
      <w:pPr>
        <w:spacing w:after="120"/>
        <w:rPr>
          <w:bCs/>
          <w:sz w:val="22"/>
          <w:szCs w:val="22"/>
        </w:rPr>
      </w:pPr>
      <w:r w:rsidRPr="00EF060E">
        <w:rPr>
          <w:sz w:val="22"/>
          <w:szCs w:val="22"/>
        </w:rPr>
        <w:t>The 377 HP caterpillar diesel fired emergency generator (EU 018) Model No. 3306 was manufactured in 1995 and installed in 2010. The unit was installed for the required fire safety and backup for the SPN Fines Solvent Extraction Process.</w:t>
      </w:r>
    </w:p>
    <w:p w14:paraId="68EB7D70" w14:textId="074AF581" w:rsidR="00940582" w:rsidRPr="00940582" w:rsidRDefault="00940582" w:rsidP="00EF060E">
      <w:pPr>
        <w:spacing w:after="120"/>
        <w:rPr>
          <w:sz w:val="22"/>
          <w:szCs w:val="22"/>
        </w:rPr>
      </w:pPr>
      <w:r w:rsidRPr="00940582">
        <w:rPr>
          <w:sz w:val="22"/>
          <w:szCs w:val="22"/>
        </w:rPr>
        <w:t>The facility is located in Bradford County at 11313 Southeast 52</w:t>
      </w:r>
      <w:r w:rsidRPr="00940582">
        <w:rPr>
          <w:sz w:val="22"/>
          <w:szCs w:val="22"/>
          <w:vertAlign w:val="superscript"/>
        </w:rPr>
        <w:t>nd</w:t>
      </w:r>
      <w:r w:rsidRPr="00940582">
        <w:rPr>
          <w:sz w:val="22"/>
          <w:szCs w:val="22"/>
        </w:rPr>
        <w:t xml:space="preserve"> Avenue</w:t>
      </w:r>
      <w:r w:rsidRPr="00940582">
        <w:rPr>
          <w:rFonts w:ascii="Book Antiqua" w:hAnsi="Book Antiqua"/>
          <w:b/>
          <w:i/>
          <w:sz w:val="22"/>
          <w:szCs w:val="22"/>
        </w:rPr>
        <w:t xml:space="preserve"> </w:t>
      </w:r>
      <w:r w:rsidRPr="00940582">
        <w:rPr>
          <w:sz w:val="22"/>
          <w:szCs w:val="22"/>
        </w:rPr>
        <w:t>in Starke, Florida.  The UTM coordinates of the existing facility are Zone 17, 391.94</w:t>
      </w:r>
      <w:r w:rsidRPr="00940582">
        <w:rPr>
          <w:rFonts w:ascii="Book Antiqua" w:hAnsi="Book Antiqua"/>
          <w:b/>
          <w:i/>
          <w:sz w:val="22"/>
          <w:szCs w:val="22"/>
        </w:rPr>
        <w:t xml:space="preserve"> </w:t>
      </w:r>
      <w:r w:rsidRPr="00940582">
        <w:rPr>
          <w:sz w:val="22"/>
          <w:szCs w:val="22"/>
        </w:rPr>
        <w:t>km East, and 3306.05</w:t>
      </w:r>
      <w:r w:rsidRPr="00940582">
        <w:rPr>
          <w:rFonts w:ascii="Book Antiqua" w:hAnsi="Book Antiqua"/>
          <w:b/>
          <w:i/>
          <w:sz w:val="22"/>
          <w:szCs w:val="22"/>
        </w:rPr>
        <w:t xml:space="preserve"> </w:t>
      </w:r>
      <w:r w:rsidRPr="00940582">
        <w:rPr>
          <w:sz w:val="22"/>
          <w:szCs w:val="22"/>
        </w:rPr>
        <w:t>km North.</w:t>
      </w:r>
    </w:p>
    <w:p w14:paraId="5FFB8835" w14:textId="77777777" w:rsidR="00940582" w:rsidRDefault="00940582" w:rsidP="00EF060E">
      <w:pPr>
        <w:pStyle w:val="Default"/>
        <w:spacing w:after="120"/>
        <w:rPr>
          <w:sz w:val="22"/>
          <w:szCs w:val="22"/>
        </w:rPr>
      </w:pPr>
      <w:r w:rsidRPr="00817CA0">
        <w:rPr>
          <w:sz w:val="22"/>
          <w:szCs w:val="22"/>
        </w:rPr>
        <w:t xml:space="preserve">The location of </w:t>
      </w:r>
      <w:r>
        <w:rPr>
          <w:sz w:val="22"/>
          <w:szCs w:val="22"/>
        </w:rPr>
        <w:t>Bradford</w:t>
      </w:r>
      <w:r w:rsidRPr="00817CA0">
        <w:rPr>
          <w:sz w:val="22"/>
          <w:szCs w:val="22"/>
        </w:rPr>
        <w:t xml:space="preserve"> County is shown in </w:t>
      </w:r>
      <w:r w:rsidRPr="00817CA0">
        <w:rPr>
          <w:b/>
          <w:bCs/>
          <w:sz w:val="22"/>
          <w:szCs w:val="22"/>
        </w:rPr>
        <w:t xml:space="preserve">Figure </w:t>
      </w:r>
      <w:r w:rsidRPr="00817CA0">
        <w:rPr>
          <w:sz w:val="22"/>
          <w:szCs w:val="22"/>
        </w:rPr>
        <w:t xml:space="preserve">1 while </w:t>
      </w:r>
      <w:r>
        <w:rPr>
          <w:sz w:val="22"/>
          <w:szCs w:val="22"/>
        </w:rPr>
        <w:t xml:space="preserve">the location of the proposed facility within the county is shown if </w:t>
      </w:r>
      <w:r w:rsidRPr="00910D09">
        <w:rPr>
          <w:b/>
          <w:sz w:val="22"/>
          <w:szCs w:val="22"/>
        </w:rPr>
        <w:t>Figure 2</w:t>
      </w:r>
      <w:r>
        <w:rPr>
          <w:sz w:val="22"/>
          <w:szCs w:val="22"/>
        </w:rPr>
        <w:t>. A</w:t>
      </w:r>
      <w:r w:rsidRPr="00817CA0">
        <w:rPr>
          <w:sz w:val="22"/>
          <w:szCs w:val="22"/>
        </w:rPr>
        <w:t xml:space="preserve"> satellite view of the proposed facility location is shown in </w:t>
      </w:r>
      <w:r w:rsidRPr="00817CA0">
        <w:rPr>
          <w:b/>
          <w:bCs/>
          <w:sz w:val="22"/>
          <w:szCs w:val="22"/>
        </w:rPr>
        <w:t xml:space="preserve">Figure </w:t>
      </w:r>
      <w:r>
        <w:rPr>
          <w:b/>
          <w:bCs/>
          <w:sz w:val="22"/>
          <w:szCs w:val="22"/>
        </w:rPr>
        <w:t>3</w:t>
      </w:r>
      <w:r w:rsidRPr="00817CA0">
        <w:rPr>
          <w:sz w:val="22"/>
          <w:szCs w:val="22"/>
        </w:rPr>
        <w:t xml:space="preserve">. </w:t>
      </w:r>
      <w:r w:rsidRPr="003C7EBA">
        <w:rPr>
          <w:sz w:val="22"/>
          <w:szCs w:val="22"/>
        </w:rPr>
        <w:t>This site is an area that is in attainment (or designated as unclassifiable) for all pollutants subject to a National Ambient Air Quality Standard (NAAQS).</w:t>
      </w:r>
      <w:r>
        <w:rPr>
          <w:sz w:val="22"/>
          <w:szCs w:val="22"/>
        </w:rPr>
        <w:t xml:space="preserve">  This site is located in an area designated as an Air Quality Maintenance Area for the pollutant ozone and in the area of influence of a particulate matter air quality maintenance area.</w:t>
      </w:r>
    </w:p>
    <w:p w14:paraId="0F277716" w14:textId="77777777" w:rsidR="00940582" w:rsidRDefault="00940582" w:rsidP="00940582">
      <w:pPr>
        <w:pStyle w:val="Default"/>
        <w:rPr>
          <w:sz w:val="22"/>
          <w:szCs w:val="22"/>
        </w:rPr>
      </w:pPr>
      <w:r>
        <w:rPr>
          <w:noProof/>
        </w:rPr>
        <w:drawing>
          <wp:inline distT="0" distB="0" distL="0" distR="0" wp14:anchorId="291CA90F" wp14:editId="4B8E6257">
            <wp:extent cx="3276600" cy="2037715"/>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1" b="19129"/>
                    <a:stretch/>
                  </pic:blipFill>
                  <pic:spPr bwMode="auto">
                    <a:xfrm>
                      <a:off x="0" y="0"/>
                      <a:ext cx="3381124" cy="2102718"/>
                    </a:xfrm>
                    <a:prstGeom prst="rect">
                      <a:avLst/>
                    </a:prstGeom>
                    <a:ln>
                      <a:noFill/>
                    </a:ln>
                    <a:extLst>
                      <a:ext uri="{53640926-AAD7-44D8-BBD7-CCE9431645EC}">
                        <a14:shadowObscured xmlns:a14="http://schemas.microsoft.com/office/drawing/2010/main"/>
                      </a:ext>
                    </a:extLst>
                  </pic:spPr>
                </pic:pic>
              </a:graphicData>
            </a:graphic>
          </wp:inline>
        </w:drawing>
      </w:r>
      <w:r w:rsidRPr="007D2484">
        <w:rPr>
          <w:noProof/>
        </w:rPr>
        <w:t xml:space="preserve"> </w:t>
      </w:r>
      <w:r>
        <w:rPr>
          <w:noProof/>
        </w:rPr>
        <w:tab/>
      </w:r>
      <w:r>
        <w:rPr>
          <w:sz w:val="22"/>
          <w:szCs w:val="22"/>
        </w:rPr>
        <w:t xml:space="preserve"> </w:t>
      </w:r>
      <w:r>
        <w:rPr>
          <w:noProof/>
        </w:rPr>
        <w:drawing>
          <wp:inline distT="0" distB="0" distL="0" distR="0" wp14:anchorId="305F7ECB" wp14:editId="5A900DC2">
            <wp:extent cx="2368550" cy="214142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79752" cy="2151556"/>
                    </a:xfrm>
                    <a:prstGeom prst="rect">
                      <a:avLst/>
                    </a:prstGeom>
                  </pic:spPr>
                </pic:pic>
              </a:graphicData>
            </a:graphic>
          </wp:inline>
        </w:drawing>
      </w:r>
    </w:p>
    <w:p w14:paraId="78102F86" w14:textId="77777777" w:rsidR="00940582" w:rsidRDefault="00940582" w:rsidP="00940582">
      <w:pPr>
        <w:pStyle w:val="Default"/>
        <w:rPr>
          <w:sz w:val="22"/>
          <w:szCs w:val="22"/>
        </w:rPr>
      </w:pPr>
    </w:p>
    <w:p w14:paraId="1FFC3226" w14:textId="77777777" w:rsidR="00940582" w:rsidRDefault="00940582" w:rsidP="00940582">
      <w:pPr>
        <w:pStyle w:val="Default"/>
        <w:rPr>
          <w:b/>
          <w:sz w:val="22"/>
          <w:szCs w:val="22"/>
        </w:rPr>
      </w:pPr>
      <w:r w:rsidRPr="00910D09">
        <w:rPr>
          <w:b/>
          <w:sz w:val="22"/>
          <w:szCs w:val="22"/>
        </w:rPr>
        <w:t xml:space="preserve">Figure 1: Location </w:t>
      </w:r>
      <w:r>
        <w:rPr>
          <w:b/>
          <w:sz w:val="22"/>
          <w:szCs w:val="22"/>
        </w:rPr>
        <w:t xml:space="preserve">Bradford </w:t>
      </w:r>
      <w:r w:rsidRPr="00910D09">
        <w:rPr>
          <w:b/>
          <w:sz w:val="22"/>
          <w:szCs w:val="22"/>
        </w:rPr>
        <w:t>County, Florida</w:t>
      </w:r>
      <w:r w:rsidRPr="00910D09">
        <w:rPr>
          <w:b/>
          <w:sz w:val="22"/>
          <w:szCs w:val="22"/>
        </w:rPr>
        <w:tab/>
      </w:r>
      <w:r w:rsidRPr="00910D09">
        <w:rPr>
          <w:b/>
          <w:sz w:val="22"/>
          <w:szCs w:val="22"/>
        </w:rPr>
        <w:tab/>
      </w:r>
      <w:r w:rsidRPr="00910D09">
        <w:rPr>
          <w:b/>
          <w:sz w:val="22"/>
          <w:szCs w:val="22"/>
        </w:rPr>
        <w:tab/>
        <w:t xml:space="preserve">Figure 2: </w:t>
      </w:r>
      <w:r>
        <w:rPr>
          <w:b/>
          <w:sz w:val="22"/>
          <w:szCs w:val="22"/>
        </w:rPr>
        <w:t>Aerial View of Griffin Industries of Florida</w:t>
      </w:r>
    </w:p>
    <w:p w14:paraId="2E6B7360" w14:textId="5330F171" w:rsidR="00525065" w:rsidRPr="00910D09" w:rsidRDefault="00525065" w:rsidP="00817CA0">
      <w:pPr>
        <w:pStyle w:val="Default"/>
        <w:rPr>
          <w:sz w:val="22"/>
          <w:szCs w:val="22"/>
        </w:rPr>
      </w:pPr>
    </w:p>
    <w:p w14:paraId="019E6CE9" w14:textId="69EEE749" w:rsidR="00EA4BCF" w:rsidRPr="00BE6E8B" w:rsidRDefault="00E5288F" w:rsidP="00EA4BCF">
      <w:pPr>
        <w:pStyle w:val="BodyText"/>
        <w:numPr>
          <w:ilvl w:val="12"/>
          <w:numId w:val="0"/>
        </w:numPr>
        <w:rPr>
          <w:b/>
          <w:bCs/>
          <w:sz w:val="22"/>
          <w:szCs w:val="22"/>
        </w:rPr>
      </w:pPr>
      <w:r>
        <w:rPr>
          <w:b/>
          <w:bCs/>
          <w:sz w:val="22"/>
          <w:szCs w:val="22"/>
        </w:rPr>
        <w:t>1.2</w:t>
      </w:r>
      <w:r>
        <w:rPr>
          <w:b/>
          <w:bCs/>
          <w:sz w:val="22"/>
          <w:szCs w:val="22"/>
        </w:rPr>
        <w:tab/>
      </w:r>
      <w:r w:rsidR="00FA298D">
        <w:rPr>
          <w:b/>
          <w:bCs/>
          <w:sz w:val="22"/>
          <w:szCs w:val="22"/>
        </w:rPr>
        <w:t xml:space="preserve">Primary </w:t>
      </w:r>
      <w:r w:rsidR="00EA4BCF" w:rsidRPr="00BE6E8B">
        <w:rPr>
          <w:b/>
          <w:bCs/>
          <w:sz w:val="22"/>
          <w:szCs w:val="22"/>
        </w:rPr>
        <w:t>Regulatory Categories</w:t>
      </w:r>
    </w:p>
    <w:p w14:paraId="1F202A80" w14:textId="77777777" w:rsidR="00FA298D" w:rsidRPr="00D41481" w:rsidRDefault="00FA298D" w:rsidP="00E5288F">
      <w:pPr>
        <w:numPr>
          <w:ilvl w:val="0"/>
          <w:numId w:val="1"/>
        </w:numPr>
        <w:spacing w:after="120"/>
        <w:rPr>
          <w:sz w:val="22"/>
          <w:szCs w:val="22"/>
        </w:rPr>
      </w:pPr>
      <w:r w:rsidRPr="00D41481">
        <w:rPr>
          <w:sz w:val="22"/>
          <w:szCs w:val="22"/>
        </w:rPr>
        <w:t xml:space="preserve">The facility </w:t>
      </w:r>
      <w:r>
        <w:rPr>
          <w:b/>
          <w:sz w:val="22"/>
          <w:szCs w:val="22"/>
        </w:rPr>
        <w:t>will</w:t>
      </w:r>
      <w:r w:rsidRPr="00630372">
        <w:rPr>
          <w:b/>
          <w:sz w:val="22"/>
          <w:szCs w:val="22"/>
        </w:rPr>
        <w:t xml:space="preserve"> not</w:t>
      </w:r>
      <w:r>
        <w:rPr>
          <w:sz w:val="22"/>
          <w:szCs w:val="22"/>
        </w:rPr>
        <w:t xml:space="preserve"> </w:t>
      </w:r>
      <w:r w:rsidRPr="00630372">
        <w:rPr>
          <w:b/>
          <w:sz w:val="22"/>
          <w:szCs w:val="22"/>
        </w:rPr>
        <w:t>be</w:t>
      </w:r>
      <w:r>
        <w:rPr>
          <w:sz w:val="22"/>
          <w:szCs w:val="22"/>
        </w:rPr>
        <w:t xml:space="preserve"> </w:t>
      </w:r>
      <w:r w:rsidRPr="00D41481">
        <w:rPr>
          <w:sz w:val="22"/>
          <w:szCs w:val="22"/>
        </w:rPr>
        <w:t>a major source of hazardous air pollutants (HAP).</w:t>
      </w:r>
      <w:r w:rsidRPr="00574D38">
        <w:rPr>
          <w:sz w:val="22"/>
          <w:szCs w:val="22"/>
        </w:rPr>
        <w:t xml:space="preserve"> </w:t>
      </w:r>
      <w:r>
        <w:rPr>
          <w:sz w:val="22"/>
          <w:szCs w:val="22"/>
        </w:rPr>
        <w:t xml:space="preserve">The facility </w:t>
      </w:r>
      <w:r w:rsidRPr="009652A0">
        <w:rPr>
          <w:b/>
          <w:sz w:val="22"/>
          <w:szCs w:val="22"/>
        </w:rPr>
        <w:t>will become</w:t>
      </w:r>
      <w:r>
        <w:rPr>
          <w:sz w:val="22"/>
          <w:szCs w:val="22"/>
        </w:rPr>
        <w:t xml:space="preserve"> a synthetic area source of HAP.</w:t>
      </w:r>
    </w:p>
    <w:p w14:paraId="300B3CC7" w14:textId="77777777" w:rsidR="00FA298D" w:rsidRPr="00D41481" w:rsidRDefault="00FA298D" w:rsidP="00E5288F">
      <w:pPr>
        <w:pStyle w:val="BodyText"/>
        <w:numPr>
          <w:ilvl w:val="0"/>
          <w:numId w:val="1"/>
        </w:numPr>
        <w:rPr>
          <w:sz w:val="22"/>
          <w:szCs w:val="22"/>
        </w:rPr>
      </w:pPr>
      <w:r w:rsidRPr="00D41481">
        <w:rPr>
          <w:sz w:val="22"/>
          <w:szCs w:val="22"/>
        </w:rPr>
        <w:t xml:space="preserve">The facility </w:t>
      </w:r>
      <w:r>
        <w:rPr>
          <w:b/>
          <w:sz w:val="22"/>
          <w:szCs w:val="22"/>
        </w:rPr>
        <w:t>does</w:t>
      </w:r>
      <w:r w:rsidRPr="00630372">
        <w:rPr>
          <w:b/>
          <w:sz w:val="22"/>
          <w:szCs w:val="22"/>
        </w:rPr>
        <w:t xml:space="preserve"> not</w:t>
      </w:r>
      <w:r w:rsidRPr="00D41481">
        <w:rPr>
          <w:sz w:val="22"/>
          <w:szCs w:val="22"/>
        </w:rPr>
        <w:t xml:space="preserve"> operate units subject to the acid rain provisions of the Clean Air Act.</w:t>
      </w:r>
    </w:p>
    <w:p w14:paraId="3A2774B0" w14:textId="77777777" w:rsidR="00FA298D" w:rsidRPr="00D41481" w:rsidRDefault="00FA298D" w:rsidP="00E5288F">
      <w:pPr>
        <w:numPr>
          <w:ilvl w:val="0"/>
          <w:numId w:val="1"/>
        </w:numPr>
        <w:spacing w:after="120"/>
        <w:rPr>
          <w:sz w:val="22"/>
          <w:szCs w:val="22"/>
        </w:rPr>
      </w:pPr>
      <w:r w:rsidRPr="00D41481">
        <w:rPr>
          <w:sz w:val="22"/>
          <w:szCs w:val="22"/>
        </w:rPr>
        <w:t xml:space="preserve">The facility </w:t>
      </w:r>
      <w:r>
        <w:rPr>
          <w:b/>
          <w:sz w:val="22"/>
          <w:szCs w:val="22"/>
        </w:rPr>
        <w:t>is</w:t>
      </w:r>
      <w:r>
        <w:rPr>
          <w:sz w:val="22"/>
          <w:szCs w:val="22"/>
        </w:rPr>
        <w:t xml:space="preserve"> </w:t>
      </w:r>
      <w:r w:rsidRPr="00D41481">
        <w:rPr>
          <w:sz w:val="22"/>
          <w:szCs w:val="22"/>
        </w:rPr>
        <w:t>a Title V major source of air pollution in accordance with Chapter 213, F.A.C.</w:t>
      </w:r>
    </w:p>
    <w:p w14:paraId="16B447FA" w14:textId="77777777" w:rsidR="00FA298D" w:rsidRPr="00D41481" w:rsidRDefault="00FA298D" w:rsidP="00E5288F">
      <w:pPr>
        <w:numPr>
          <w:ilvl w:val="0"/>
          <w:numId w:val="1"/>
        </w:numPr>
        <w:spacing w:after="120"/>
        <w:rPr>
          <w:sz w:val="22"/>
          <w:szCs w:val="22"/>
        </w:rPr>
      </w:pPr>
      <w:r>
        <w:rPr>
          <w:sz w:val="22"/>
          <w:szCs w:val="22"/>
        </w:rPr>
        <w:t xml:space="preserve">The facility </w:t>
      </w:r>
      <w:r w:rsidRPr="00B32454">
        <w:rPr>
          <w:b/>
          <w:sz w:val="22"/>
          <w:szCs w:val="22"/>
        </w:rPr>
        <w:t>will become</w:t>
      </w:r>
      <w:r>
        <w:rPr>
          <w:sz w:val="22"/>
          <w:szCs w:val="22"/>
        </w:rPr>
        <w:t xml:space="preserve"> a synthetic minor </w:t>
      </w:r>
      <w:r w:rsidRPr="00D41481">
        <w:rPr>
          <w:sz w:val="22"/>
          <w:szCs w:val="22"/>
        </w:rPr>
        <w:t>Prevention of Significant Deterioration (PSD)</w:t>
      </w:r>
      <w:r>
        <w:rPr>
          <w:sz w:val="22"/>
          <w:szCs w:val="22"/>
        </w:rPr>
        <w:t xml:space="preserve"> Stationary Source for the pollutant VOC.</w:t>
      </w:r>
    </w:p>
    <w:p w14:paraId="105DDE37" w14:textId="44CE33E8" w:rsidR="00F23698" w:rsidRPr="003B135D" w:rsidRDefault="00F23698" w:rsidP="00F23698">
      <w:pPr>
        <w:pStyle w:val="BodyText2"/>
        <w:numPr>
          <w:ilvl w:val="0"/>
          <w:numId w:val="0"/>
        </w:numPr>
        <w:rPr>
          <w:b/>
          <w:bCs/>
          <w:sz w:val="24"/>
          <w:szCs w:val="24"/>
        </w:rPr>
      </w:pPr>
      <w:r w:rsidRPr="003B135D">
        <w:rPr>
          <w:b/>
          <w:bCs/>
          <w:sz w:val="24"/>
          <w:szCs w:val="24"/>
        </w:rPr>
        <w:t>1.</w:t>
      </w:r>
      <w:r w:rsidR="00E5288F">
        <w:rPr>
          <w:b/>
          <w:bCs/>
          <w:sz w:val="24"/>
          <w:szCs w:val="24"/>
        </w:rPr>
        <w:t>3</w:t>
      </w:r>
      <w:r w:rsidR="00AA69CC" w:rsidRPr="003B135D">
        <w:rPr>
          <w:b/>
          <w:bCs/>
          <w:sz w:val="24"/>
          <w:szCs w:val="24"/>
        </w:rPr>
        <w:t>. Project</w:t>
      </w:r>
      <w:r w:rsidRPr="003B135D">
        <w:rPr>
          <w:b/>
          <w:bCs/>
          <w:sz w:val="24"/>
          <w:szCs w:val="24"/>
        </w:rPr>
        <w:t xml:space="preserve"> Description</w:t>
      </w:r>
    </w:p>
    <w:p w14:paraId="0A77426B" w14:textId="0176AA66" w:rsidR="00BC26A9" w:rsidRDefault="00BC26A9" w:rsidP="00BC26A9">
      <w:pPr>
        <w:spacing w:after="60"/>
        <w:rPr>
          <w:b/>
          <w:sz w:val="22"/>
          <w:szCs w:val="22"/>
        </w:rPr>
      </w:pPr>
      <w:r w:rsidRPr="00B51448">
        <w:rPr>
          <w:b/>
          <w:sz w:val="22"/>
          <w:szCs w:val="22"/>
        </w:rPr>
        <w:t>HAP Synthetic Minor (Area) Source Classification</w:t>
      </w:r>
    </w:p>
    <w:p w14:paraId="1C3BBDFE" w14:textId="77777777" w:rsidR="00BC26A9" w:rsidRDefault="00BC26A9" w:rsidP="00BC26A9">
      <w:pPr>
        <w:spacing w:after="120"/>
        <w:rPr>
          <w:rFonts w:ascii="Cambria" w:hAnsi="Cambria" w:cs="Cambria"/>
          <w:sz w:val="21"/>
          <w:szCs w:val="21"/>
        </w:rPr>
      </w:pPr>
      <w:r>
        <w:rPr>
          <w:sz w:val="22"/>
          <w:szCs w:val="22"/>
        </w:rPr>
        <w:t xml:space="preserve">The project establishes a </w:t>
      </w:r>
      <w:r w:rsidRPr="00B51448">
        <w:rPr>
          <w:sz w:val="22"/>
          <w:szCs w:val="22"/>
        </w:rPr>
        <w:t>synthetic minor limit of</w:t>
      </w:r>
      <w:r>
        <w:rPr>
          <w:sz w:val="22"/>
          <w:szCs w:val="22"/>
        </w:rPr>
        <w:t xml:space="preserve"> </w:t>
      </w:r>
      <w:r w:rsidRPr="00B51448">
        <w:rPr>
          <w:sz w:val="22"/>
          <w:szCs w:val="22"/>
        </w:rPr>
        <w:t>individual HAP emissions (n</w:t>
      </w:r>
      <w:r w:rsidRPr="00B51448">
        <w:rPr>
          <w:rFonts w:ascii="Cambria Math" w:hAnsi="Cambria Math" w:cs="Cambria Math"/>
          <w:sz w:val="22"/>
          <w:szCs w:val="22"/>
        </w:rPr>
        <w:t>‐</w:t>
      </w:r>
      <w:r w:rsidRPr="00B51448">
        <w:rPr>
          <w:sz w:val="22"/>
          <w:szCs w:val="22"/>
        </w:rPr>
        <w:t>hexane) to 9.9 tons/rolling 12</w:t>
      </w:r>
      <w:r w:rsidRPr="00B51448">
        <w:rPr>
          <w:rFonts w:ascii="Cambria Math" w:hAnsi="Cambria Math" w:cs="Cambria Math"/>
          <w:sz w:val="22"/>
          <w:szCs w:val="22"/>
        </w:rPr>
        <w:t>‐</w:t>
      </w:r>
      <w:r w:rsidRPr="00B51448">
        <w:rPr>
          <w:sz w:val="22"/>
          <w:szCs w:val="22"/>
        </w:rPr>
        <w:t>month period and total HAP emissions to 24.9 tons/rolling 12</w:t>
      </w:r>
      <w:r w:rsidRPr="00B51448">
        <w:rPr>
          <w:rFonts w:ascii="Cambria Math" w:hAnsi="Cambria Math" w:cs="Cambria Math"/>
          <w:sz w:val="22"/>
          <w:szCs w:val="22"/>
        </w:rPr>
        <w:t>‐</w:t>
      </w:r>
      <w:r w:rsidRPr="00B51448">
        <w:rPr>
          <w:sz w:val="22"/>
          <w:szCs w:val="22"/>
        </w:rPr>
        <w:t>month period from the Hampton facility</w:t>
      </w:r>
      <w:r>
        <w:rPr>
          <w:rFonts w:ascii="Cambria" w:hAnsi="Cambria" w:cs="Cambria"/>
          <w:sz w:val="21"/>
          <w:szCs w:val="21"/>
        </w:rPr>
        <w:t>.</w:t>
      </w:r>
    </w:p>
    <w:p w14:paraId="3AF478D0" w14:textId="77777777" w:rsidR="00BC26A9" w:rsidRDefault="00BC26A9" w:rsidP="00BC26A9">
      <w:pPr>
        <w:spacing w:after="60"/>
        <w:rPr>
          <w:b/>
          <w:sz w:val="22"/>
          <w:szCs w:val="22"/>
        </w:rPr>
      </w:pPr>
      <w:r w:rsidRPr="00B51448">
        <w:rPr>
          <w:b/>
          <w:sz w:val="22"/>
          <w:szCs w:val="22"/>
        </w:rPr>
        <w:t>VOC Prevention of Significant Deterioration (PSD) Synthetic Minor Source Classification</w:t>
      </w:r>
    </w:p>
    <w:p w14:paraId="4FCB9E9A" w14:textId="77777777" w:rsidR="00BC26A9" w:rsidRPr="00B51448" w:rsidRDefault="00BC26A9" w:rsidP="00BC26A9">
      <w:pPr>
        <w:spacing w:after="120"/>
        <w:rPr>
          <w:sz w:val="22"/>
          <w:szCs w:val="22"/>
        </w:rPr>
      </w:pPr>
      <w:r>
        <w:rPr>
          <w:sz w:val="22"/>
          <w:szCs w:val="22"/>
        </w:rPr>
        <w:t xml:space="preserve">The project establishes a </w:t>
      </w:r>
      <w:r w:rsidRPr="00B51448">
        <w:rPr>
          <w:sz w:val="22"/>
          <w:szCs w:val="22"/>
        </w:rPr>
        <w:t>PSD synthetic minor VOC emissions limit of 249 tons/rolling 12</w:t>
      </w:r>
      <w:r w:rsidRPr="00B51448">
        <w:rPr>
          <w:rFonts w:ascii="Cambria Math" w:hAnsi="Cambria Math" w:cs="Cambria Math"/>
          <w:sz w:val="22"/>
          <w:szCs w:val="22"/>
        </w:rPr>
        <w:t>‐</w:t>
      </w:r>
      <w:r w:rsidRPr="00B51448">
        <w:rPr>
          <w:sz w:val="22"/>
          <w:szCs w:val="22"/>
        </w:rPr>
        <w:t>month period from the Hampton facility.</w:t>
      </w:r>
    </w:p>
    <w:p w14:paraId="2CA84C89" w14:textId="77777777" w:rsidR="00532235" w:rsidRDefault="00532235">
      <w:pPr>
        <w:rPr>
          <w:b/>
          <w:sz w:val="22"/>
          <w:szCs w:val="22"/>
        </w:rPr>
      </w:pPr>
      <w:r>
        <w:rPr>
          <w:b/>
          <w:sz w:val="22"/>
          <w:szCs w:val="22"/>
        </w:rPr>
        <w:br w:type="page"/>
      </w:r>
    </w:p>
    <w:p w14:paraId="51904805" w14:textId="1023134E" w:rsidR="00BC26A9" w:rsidRPr="00B51448" w:rsidRDefault="00BC26A9" w:rsidP="00BC26A9">
      <w:pPr>
        <w:spacing w:after="60"/>
        <w:rPr>
          <w:b/>
          <w:sz w:val="22"/>
          <w:szCs w:val="22"/>
        </w:rPr>
      </w:pPr>
      <w:r w:rsidRPr="00B51448">
        <w:rPr>
          <w:b/>
          <w:sz w:val="22"/>
          <w:szCs w:val="22"/>
        </w:rPr>
        <w:lastRenderedPageBreak/>
        <w:t>Inedible Animal By</w:t>
      </w:r>
      <w:r w:rsidRPr="00B51448">
        <w:rPr>
          <w:rFonts w:ascii="Cambria Math" w:hAnsi="Cambria Math" w:cs="Cambria Math"/>
          <w:b/>
          <w:sz w:val="22"/>
          <w:szCs w:val="22"/>
        </w:rPr>
        <w:t>‐</w:t>
      </w:r>
      <w:r w:rsidRPr="00B51448">
        <w:rPr>
          <w:b/>
          <w:sz w:val="22"/>
          <w:szCs w:val="22"/>
        </w:rPr>
        <w:t>products Protein Conversion Processes Emissions Calculation Methodology</w:t>
      </w:r>
    </w:p>
    <w:p w14:paraId="2727CBFF" w14:textId="7B745913" w:rsidR="00BC26A9" w:rsidRDefault="00BC26A9" w:rsidP="00BC26A9">
      <w:pPr>
        <w:spacing w:after="120"/>
        <w:rPr>
          <w:sz w:val="22"/>
          <w:szCs w:val="22"/>
        </w:rPr>
      </w:pPr>
      <w:r w:rsidRPr="005D3469">
        <w:rPr>
          <w:sz w:val="22"/>
          <w:szCs w:val="22"/>
        </w:rPr>
        <w:t>The project revises the method of determining actual</w:t>
      </w:r>
      <w:r>
        <w:rPr>
          <w:sz w:val="22"/>
          <w:szCs w:val="22"/>
        </w:rPr>
        <w:t xml:space="preserve"> and potential</w:t>
      </w:r>
      <w:r w:rsidRPr="005D3469">
        <w:rPr>
          <w:sz w:val="22"/>
          <w:szCs w:val="22"/>
        </w:rPr>
        <w:t xml:space="preserve"> emissions from the Animal Rendering Cooker #1, the Animal Rendering Cooker #3, and the Feather/Blood Line for PM, PM</w:t>
      </w:r>
      <w:r w:rsidRPr="00DE43E2">
        <w:rPr>
          <w:sz w:val="22"/>
          <w:szCs w:val="22"/>
          <w:vertAlign w:val="subscript"/>
        </w:rPr>
        <w:t>10</w:t>
      </w:r>
      <w:r w:rsidRPr="005D3469">
        <w:rPr>
          <w:sz w:val="22"/>
          <w:szCs w:val="22"/>
        </w:rPr>
        <w:t>, PM</w:t>
      </w:r>
      <w:r w:rsidRPr="00DE43E2">
        <w:rPr>
          <w:sz w:val="22"/>
          <w:szCs w:val="22"/>
          <w:vertAlign w:val="subscript"/>
        </w:rPr>
        <w:t xml:space="preserve">2.5 </w:t>
      </w:r>
      <w:r w:rsidRPr="005D3469">
        <w:rPr>
          <w:sz w:val="22"/>
          <w:szCs w:val="22"/>
        </w:rPr>
        <w:t xml:space="preserve">and VOC emissions.  </w:t>
      </w:r>
      <w:r w:rsidRPr="00DD256B">
        <w:rPr>
          <w:sz w:val="22"/>
          <w:szCs w:val="22"/>
        </w:rPr>
        <w:t>No physical changes or changes in the method of operation will be made to</w:t>
      </w:r>
      <w:r>
        <w:rPr>
          <w:sz w:val="22"/>
          <w:szCs w:val="22"/>
        </w:rPr>
        <w:t xml:space="preserve"> </w:t>
      </w:r>
      <w:r w:rsidRPr="00DD256B">
        <w:rPr>
          <w:sz w:val="22"/>
          <w:szCs w:val="22"/>
        </w:rPr>
        <w:t xml:space="preserve">the processes, only the emissions calculation methodology </w:t>
      </w:r>
      <w:r>
        <w:rPr>
          <w:sz w:val="22"/>
          <w:szCs w:val="22"/>
        </w:rPr>
        <w:t xml:space="preserve">will be changed to that utilized by the facility for similar operations at other </w:t>
      </w:r>
      <w:r w:rsidR="00E00497">
        <w:rPr>
          <w:sz w:val="22"/>
          <w:szCs w:val="22"/>
        </w:rPr>
        <w:t xml:space="preserve">Griffin </w:t>
      </w:r>
      <w:r>
        <w:rPr>
          <w:sz w:val="22"/>
          <w:szCs w:val="22"/>
        </w:rPr>
        <w:t xml:space="preserve">facilities located in the U.S.  </w:t>
      </w:r>
      <w:r w:rsidRPr="005D3469">
        <w:rPr>
          <w:sz w:val="22"/>
          <w:szCs w:val="22"/>
        </w:rPr>
        <w:t xml:space="preserve">The project </w:t>
      </w:r>
      <w:r>
        <w:rPr>
          <w:sz w:val="22"/>
          <w:szCs w:val="22"/>
        </w:rPr>
        <w:t xml:space="preserve">also </w:t>
      </w:r>
      <w:r w:rsidRPr="005D3469">
        <w:rPr>
          <w:sz w:val="22"/>
          <w:szCs w:val="22"/>
        </w:rPr>
        <w:t>revises the nomenclature for these emissions units to Inedible Animal By</w:t>
      </w:r>
      <w:r w:rsidRPr="005D3469">
        <w:rPr>
          <w:rFonts w:ascii="Cambria Math" w:hAnsi="Cambria Math" w:cs="Cambria Math"/>
          <w:sz w:val="22"/>
          <w:szCs w:val="22"/>
        </w:rPr>
        <w:t>‐</w:t>
      </w:r>
      <w:r w:rsidRPr="005D3469">
        <w:rPr>
          <w:sz w:val="22"/>
          <w:szCs w:val="22"/>
        </w:rPr>
        <w:t>products Protein Conversion Process Line#1, Inedible Animal By</w:t>
      </w:r>
      <w:r w:rsidRPr="005D3469">
        <w:rPr>
          <w:rFonts w:ascii="Cambria Math" w:hAnsi="Cambria Math" w:cs="Cambria Math"/>
          <w:sz w:val="22"/>
          <w:szCs w:val="22"/>
        </w:rPr>
        <w:t>‐</w:t>
      </w:r>
      <w:r w:rsidRPr="005D3469">
        <w:rPr>
          <w:sz w:val="22"/>
          <w:szCs w:val="22"/>
        </w:rPr>
        <w:t xml:space="preserve">products Protein Conversion Process Line#3, </w:t>
      </w:r>
      <w:r w:rsidR="001620E6" w:rsidRPr="005D3469">
        <w:rPr>
          <w:sz w:val="22"/>
          <w:szCs w:val="22"/>
        </w:rPr>
        <w:t xml:space="preserve">respectively </w:t>
      </w:r>
      <w:r w:rsidRPr="005D3469">
        <w:rPr>
          <w:sz w:val="22"/>
          <w:szCs w:val="22"/>
        </w:rPr>
        <w:t>and</w:t>
      </w:r>
      <w:r w:rsidR="001620E6">
        <w:rPr>
          <w:sz w:val="22"/>
          <w:szCs w:val="22"/>
        </w:rPr>
        <w:t xml:space="preserve"> the addition of</w:t>
      </w:r>
      <w:r w:rsidRPr="005D3469">
        <w:rPr>
          <w:sz w:val="22"/>
          <w:szCs w:val="22"/>
        </w:rPr>
        <w:t xml:space="preserve"> Feather/Blood Line.</w:t>
      </w:r>
    </w:p>
    <w:p w14:paraId="3CC9C9DB" w14:textId="77777777" w:rsidR="00BC26A9" w:rsidRDefault="00BC26A9" w:rsidP="00BC26A9">
      <w:pPr>
        <w:spacing w:after="60"/>
        <w:rPr>
          <w:b/>
          <w:sz w:val="22"/>
          <w:szCs w:val="22"/>
        </w:rPr>
      </w:pPr>
      <w:r w:rsidRPr="00B51448">
        <w:rPr>
          <w:b/>
          <w:sz w:val="22"/>
          <w:szCs w:val="22"/>
        </w:rPr>
        <w:t>Boiler Permitted Fuel Description Changes</w:t>
      </w:r>
    </w:p>
    <w:p w14:paraId="2451B6B2" w14:textId="77777777" w:rsidR="00BC26A9" w:rsidRPr="00B51448" w:rsidRDefault="00BC26A9" w:rsidP="00BC26A9">
      <w:pPr>
        <w:spacing w:after="120"/>
        <w:rPr>
          <w:sz w:val="22"/>
          <w:szCs w:val="22"/>
        </w:rPr>
      </w:pPr>
      <w:r>
        <w:rPr>
          <w:sz w:val="22"/>
          <w:szCs w:val="22"/>
        </w:rPr>
        <w:t xml:space="preserve">The project changes </w:t>
      </w:r>
      <w:r w:rsidRPr="00B51448">
        <w:rPr>
          <w:sz w:val="22"/>
          <w:szCs w:val="22"/>
        </w:rPr>
        <w:t xml:space="preserve">the description of No. 6 fuel oil </w:t>
      </w:r>
      <w:r>
        <w:rPr>
          <w:sz w:val="22"/>
          <w:szCs w:val="22"/>
        </w:rPr>
        <w:t>t</w:t>
      </w:r>
      <w:r w:rsidRPr="00B51448">
        <w:rPr>
          <w:sz w:val="22"/>
          <w:szCs w:val="22"/>
        </w:rPr>
        <w:t xml:space="preserve">o “residual oil” for </w:t>
      </w:r>
      <w:r>
        <w:rPr>
          <w:sz w:val="22"/>
          <w:szCs w:val="22"/>
        </w:rPr>
        <w:t xml:space="preserve">Boiler Nos. 1, 2, and 3 </w:t>
      </w:r>
      <w:r w:rsidRPr="00B51448">
        <w:rPr>
          <w:sz w:val="22"/>
          <w:szCs w:val="22"/>
        </w:rPr>
        <w:t>(EU</w:t>
      </w:r>
      <w:r>
        <w:rPr>
          <w:sz w:val="22"/>
          <w:szCs w:val="22"/>
        </w:rPr>
        <w:t xml:space="preserve"> </w:t>
      </w:r>
      <w:r w:rsidRPr="00B51448">
        <w:rPr>
          <w:sz w:val="22"/>
          <w:szCs w:val="22"/>
        </w:rPr>
        <w:t>006</w:t>
      </w:r>
      <w:r>
        <w:rPr>
          <w:sz w:val="22"/>
          <w:szCs w:val="22"/>
        </w:rPr>
        <w:t xml:space="preserve">, EU 007, </w:t>
      </w:r>
      <w:r w:rsidRPr="00B51448">
        <w:rPr>
          <w:sz w:val="22"/>
          <w:szCs w:val="22"/>
        </w:rPr>
        <w:t>EU</w:t>
      </w:r>
      <w:r>
        <w:rPr>
          <w:sz w:val="22"/>
          <w:szCs w:val="22"/>
        </w:rPr>
        <w:t xml:space="preserve"> </w:t>
      </w:r>
      <w:r w:rsidRPr="00B51448">
        <w:rPr>
          <w:sz w:val="22"/>
          <w:szCs w:val="22"/>
        </w:rPr>
        <w:t xml:space="preserve">008), </w:t>
      </w:r>
      <w:r>
        <w:rPr>
          <w:sz w:val="22"/>
          <w:szCs w:val="22"/>
        </w:rPr>
        <w:t xml:space="preserve">the description of </w:t>
      </w:r>
      <w:r w:rsidRPr="00B51448">
        <w:rPr>
          <w:sz w:val="22"/>
          <w:szCs w:val="22"/>
        </w:rPr>
        <w:t>No. 2 fuel oil to “distillate oil” for</w:t>
      </w:r>
      <w:r>
        <w:rPr>
          <w:sz w:val="22"/>
          <w:szCs w:val="22"/>
        </w:rPr>
        <w:t xml:space="preserve"> </w:t>
      </w:r>
      <w:r w:rsidRPr="00B51448">
        <w:rPr>
          <w:sz w:val="22"/>
          <w:szCs w:val="22"/>
        </w:rPr>
        <w:t xml:space="preserve">all </w:t>
      </w:r>
      <w:r>
        <w:rPr>
          <w:sz w:val="22"/>
          <w:szCs w:val="22"/>
        </w:rPr>
        <w:t xml:space="preserve">four </w:t>
      </w:r>
      <w:r w:rsidRPr="00B51448">
        <w:rPr>
          <w:sz w:val="22"/>
          <w:szCs w:val="22"/>
        </w:rPr>
        <w:t>boilers</w:t>
      </w:r>
      <w:r>
        <w:rPr>
          <w:sz w:val="22"/>
          <w:szCs w:val="22"/>
        </w:rPr>
        <w:t xml:space="preserve">, Boiler Nos. 1, 2, 3 and 4 </w:t>
      </w:r>
      <w:r w:rsidRPr="00B51448">
        <w:rPr>
          <w:sz w:val="22"/>
          <w:szCs w:val="22"/>
        </w:rPr>
        <w:t>(EU</w:t>
      </w:r>
      <w:r>
        <w:rPr>
          <w:sz w:val="22"/>
          <w:szCs w:val="22"/>
        </w:rPr>
        <w:t xml:space="preserve"> </w:t>
      </w:r>
      <w:r w:rsidRPr="00B51448">
        <w:rPr>
          <w:sz w:val="22"/>
          <w:szCs w:val="22"/>
        </w:rPr>
        <w:t>006</w:t>
      </w:r>
      <w:r>
        <w:rPr>
          <w:sz w:val="22"/>
          <w:szCs w:val="22"/>
        </w:rPr>
        <w:t xml:space="preserve">, EU 007, </w:t>
      </w:r>
      <w:r w:rsidRPr="00B51448">
        <w:rPr>
          <w:sz w:val="22"/>
          <w:szCs w:val="22"/>
        </w:rPr>
        <w:t>EU</w:t>
      </w:r>
      <w:r>
        <w:rPr>
          <w:sz w:val="22"/>
          <w:szCs w:val="22"/>
        </w:rPr>
        <w:t xml:space="preserve"> </w:t>
      </w:r>
      <w:r w:rsidRPr="00B51448">
        <w:rPr>
          <w:sz w:val="22"/>
          <w:szCs w:val="22"/>
        </w:rPr>
        <w:t>008</w:t>
      </w:r>
      <w:r>
        <w:rPr>
          <w:sz w:val="22"/>
          <w:szCs w:val="22"/>
        </w:rPr>
        <w:t>, EU 017</w:t>
      </w:r>
      <w:r w:rsidRPr="00B51448">
        <w:rPr>
          <w:sz w:val="22"/>
          <w:szCs w:val="22"/>
        </w:rPr>
        <w:t xml:space="preserve">), </w:t>
      </w:r>
      <w:r>
        <w:rPr>
          <w:sz w:val="22"/>
          <w:szCs w:val="22"/>
        </w:rPr>
        <w:t>and the description of</w:t>
      </w:r>
      <w:r w:rsidRPr="00B51448">
        <w:rPr>
          <w:sz w:val="22"/>
          <w:szCs w:val="22"/>
        </w:rPr>
        <w:t xml:space="preserve"> processed greases to “processed fats” for all</w:t>
      </w:r>
      <w:r>
        <w:rPr>
          <w:sz w:val="22"/>
          <w:szCs w:val="22"/>
        </w:rPr>
        <w:t xml:space="preserve"> four </w:t>
      </w:r>
      <w:r w:rsidRPr="00B51448">
        <w:rPr>
          <w:sz w:val="22"/>
          <w:szCs w:val="22"/>
        </w:rPr>
        <w:t>boilers</w:t>
      </w:r>
      <w:r>
        <w:rPr>
          <w:sz w:val="22"/>
          <w:szCs w:val="22"/>
        </w:rPr>
        <w:t xml:space="preserve"> </w:t>
      </w:r>
      <w:r w:rsidRPr="00B51448">
        <w:rPr>
          <w:sz w:val="22"/>
          <w:szCs w:val="22"/>
        </w:rPr>
        <w:t>(EU</w:t>
      </w:r>
      <w:r>
        <w:rPr>
          <w:sz w:val="22"/>
          <w:szCs w:val="22"/>
        </w:rPr>
        <w:t xml:space="preserve"> </w:t>
      </w:r>
      <w:r w:rsidRPr="00B51448">
        <w:rPr>
          <w:sz w:val="22"/>
          <w:szCs w:val="22"/>
        </w:rPr>
        <w:t>006</w:t>
      </w:r>
      <w:r>
        <w:rPr>
          <w:sz w:val="22"/>
          <w:szCs w:val="22"/>
        </w:rPr>
        <w:t xml:space="preserve">, EU 007, </w:t>
      </w:r>
      <w:r w:rsidRPr="00B51448">
        <w:rPr>
          <w:sz w:val="22"/>
          <w:szCs w:val="22"/>
        </w:rPr>
        <w:t>EU</w:t>
      </w:r>
      <w:r>
        <w:rPr>
          <w:sz w:val="22"/>
          <w:szCs w:val="22"/>
        </w:rPr>
        <w:t xml:space="preserve"> </w:t>
      </w:r>
      <w:r w:rsidRPr="00B51448">
        <w:rPr>
          <w:sz w:val="22"/>
          <w:szCs w:val="22"/>
        </w:rPr>
        <w:t>008</w:t>
      </w:r>
      <w:r>
        <w:rPr>
          <w:sz w:val="22"/>
          <w:szCs w:val="22"/>
        </w:rPr>
        <w:t>, EU 017</w:t>
      </w:r>
      <w:r w:rsidRPr="00B51448">
        <w:rPr>
          <w:sz w:val="22"/>
          <w:szCs w:val="22"/>
        </w:rPr>
        <w:t xml:space="preserve">), </w:t>
      </w:r>
      <w:r>
        <w:rPr>
          <w:sz w:val="22"/>
          <w:szCs w:val="22"/>
        </w:rPr>
        <w:t>at the Hampton facility.</w:t>
      </w:r>
    </w:p>
    <w:p w14:paraId="43704A41" w14:textId="77777777" w:rsidR="008775B1" w:rsidRPr="008C2C2C" w:rsidRDefault="008775B1" w:rsidP="008775B1">
      <w:pPr>
        <w:pStyle w:val="BodyText3"/>
        <w:numPr>
          <w:ilvl w:val="12"/>
          <w:numId w:val="0"/>
        </w:numPr>
        <w:rPr>
          <w:szCs w:val="22"/>
        </w:rPr>
      </w:pPr>
      <w:r w:rsidRPr="008C2C2C">
        <w:rPr>
          <w:szCs w:val="22"/>
        </w:rPr>
        <w:t xml:space="preserve">This project will </w:t>
      </w:r>
      <w:r>
        <w:rPr>
          <w:szCs w:val="22"/>
        </w:rPr>
        <w:t>affect</w:t>
      </w:r>
      <w:r w:rsidRPr="008C2C2C">
        <w:rPr>
          <w:szCs w:val="22"/>
        </w:rPr>
        <w:t xml:space="preserve"> the following emissions units.</w:t>
      </w:r>
    </w:p>
    <w:tbl>
      <w:tblPr>
        <w:tblW w:w="10030"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29" w:type="dxa"/>
          <w:left w:w="58" w:type="dxa"/>
          <w:bottom w:w="29" w:type="dxa"/>
          <w:right w:w="58" w:type="dxa"/>
        </w:tblCellMar>
        <w:tblLook w:val="0000" w:firstRow="0" w:lastRow="0" w:firstColumn="0" w:lastColumn="0" w:noHBand="0" w:noVBand="0"/>
      </w:tblPr>
      <w:tblGrid>
        <w:gridCol w:w="794"/>
        <w:gridCol w:w="1766"/>
        <w:gridCol w:w="7470"/>
      </w:tblGrid>
      <w:tr w:rsidR="008775B1" w:rsidRPr="008C2C2C" w14:paraId="5E4994A3" w14:textId="77777777" w:rsidTr="00DC5A81">
        <w:trPr>
          <w:gridAfter w:val="1"/>
          <w:wAfter w:w="7470" w:type="dxa"/>
        </w:trPr>
        <w:tc>
          <w:tcPr>
            <w:tcW w:w="2560" w:type="dxa"/>
            <w:gridSpan w:val="2"/>
          </w:tcPr>
          <w:p w14:paraId="45DD8524" w14:textId="77777777" w:rsidR="008775B1" w:rsidRPr="008C2C2C" w:rsidRDefault="008775B1" w:rsidP="00DC5A81">
            <w:pPr>
              <w:rPr>
                <w:b/>
                <w:sz w:val="22"/>
                <w:szCs w:val="22"/>
              </w:rPr>
            </w:pPr>
            <w:r w:rsidRPr="008C2C2C">
              <w:rPr>
                <w:b/>
                <w:sz w:val="22"/>
                <w:szCs w:val="22"/>
              </w:rPr>
              <w:t xml:space="preserve">Facility ID No. </w:t>
            </w:r>
            <w:r>
              <w:rPr>
                <w:b/>
                <w:sz w:val="22"/>
                <w:szCs w:val="22"/>
              </w:rPr>
              <w:t>0070004</w:t>
            </w:r>
          </w:p>
        </w:tc>
      </w:tr>
      <w:tr w:rsidR="008775B1" w:rsidRPr="008C2C2C" w14:paraId="18855FF8" w14:textId="77777777" w:rsidTr="00DC5A81">
        <w:tc>
          <w:tcPr>
            <w:tcW w:w="794" w:type="dxa"/>
            <w:tcBorders>
              <w:bottom w:val="single" w:sz="12" w:space="0" w:color="auto"/>
            </w:tcBorders>
          </w:tcPr>
          <w:p w14:paraId="47D813E5" w14:textId="77777777" w:rsidR="008775B1" w:rsidRPr="008C2C2C" w:rsidRDefault="008775B1" w:rsidP="00DC5A81">
            <w:pPr>
              <w:jc w:val="center"/>
              <w:rPr>
                <w:b/>
                <w:sz w:val="22"/>
                <w:szCs w:val="22"/>
              </w:rPr>
            </w:pPr>
            <w:r w:rsidRPr="008C2C2C">
              <w:rPr>
                <w:b/>
                <w:sz w:val="22"/>
                <w:szCs w:val="22"/>
              </w:rPr>
              <w:t>ID No.</w:t>
            </w:r>
          </w:p>
        </w:tc>
        <w:tc>
          <w:tcPr>
            <w:tcW w:w="9236" w:type="dxa"/>
            <w:gridSpan w:val="2"/>
            <w:tcBorders>
              <w:bottom w:val="single" w:sz="12" w:space="0" w:color="auto"/>
            </w:tcBorders>
          </w:tcPr>
          <w:p w14:paraId="47801A7F" w14:textId="77777777" w:rsidR="008775B1" w:rsidRPr="008C2C2C" w:rsidRDefault="008775B1" w:rsidP="00DC5A81">
            <w:pPr>
              <w:rPr>
                <w:sz w:val="22"/>
                <w:szCs w:val="22"/>
              </w:rPr>
            </w:pPr>
            <w:r w:rsidRPr="008C2C2C">
              <w:rPr>
                <w:b/>
                <w:sz w:val="22"/>
                <w:szCs w:val="22"/>
              </w:rPr>
              <w:t>Emission Unit Description</w:t>
            </w:r>
          </w:p>
        </w:tc>
      </w:tr>
      <w:tr w:rsidR="008775B1" w:rsidRPr="008C2C2C" w14:paraId="79234FEC" w14:textId="77777777" w:rsidTr="00DC5A81">
        <w:tc>
          <w:tcPr>
            <w:tcW w:w="794" w:type="dxa"/>
            <w:tcBorders>
              <w:bottom w:val="single" w:sz="8" w:space="0" w:color="auto"/>
            </w:tcBorders>
          </w:tcPr>
          <w:p w14:paraId="4FBF5ACD" w14:textId="77777777" w:rsidR="008775B1" w:rsidRPr="008C2C2C" w:rsidRDefault="008775B1" w:rsidP="00DC5A81">
            <w:pPr>
              <w:jc w:val="center"/>
              <w:rPr>
                <w:sz w:val="22"/>
                <w:szCs w:val="22"/>
                <w:highlight w:val="yellow"/>
              </w:rPr>
            </w:pPr>
            <w:r w:rsidRPr="00815CAD">
              <w:rPr>
                <w:sz w:val="22"/>
                <w:szCs w:val="22"/>
              </w:rPr>
              <w:t>006</w:t>
            </w:r>
          </w:p>
        </w:tc>
        <w:tc>
          <w:tcPr>
            <w:tcW w:w="9236" w:type="dxa"/>
            <w:gridSpan w:val="2"/>
            <w:tcBorders>
              <w:bottom w:val="single" w:sz="8" w:space="0" w:color="auto"/>
            </w:tcBorders>
          </w:tcPr>
          <w:p w14:paraId="7B0B3CAA" w14:textId="77777777" w:rsidR="008775B1" w:rsidRPr="008C2C2C" w:rsidRDefault="008775B1" w:rsidP="00DC5A81">
            <w:pPr>
              <w:rPr>
                <w:b/>
                <w:sz w:val="22"/>
                <w:szCs w:val="22"/>
                <w:highlight w:val="yellow"/>
              </w:rPr>
            </w:pPr>
            <w:r w:rsidRPr="00815CAD">
              <w:rPr>
                <w:snapToGrid w:val="0"/>
                <w:sz w:val="22"/>
                <w:szCs w:val="22"/>
              </w:rPr>
              <w:t>Boiler No. 1</w:t>
            </w:r>
          </w:p>
        </w:tc>
      </w:tr>
      <w:tr w:rsidR="008775B1" w:rsidRPr="008C2C2C" w14:paraId="2AF0543F" w14:textId="77777777" w:rsidTr="00DC5A81">
        <w:tc>
          <w:tcPr>
            <w:tcW w:w="794" w:type="dxa"/>
            <w:tcBorders>
              <w:top w:val="single" w:sz="8" w:space="0" w:color="auto"/>
              <w:bottom w:val="single" w:sz="8" w:space="0" w:color="auto"/>
            </w:tcBorders>
          </w:tcPr>
          <w:p w14:paraId="5ABE0ED6" w14:textId="77777777" w:rsidR="008775B1" w:rsidRPr="008C2C2C" w:rsidRDefault="008775B1" w:rsidP="00DC5A81">
            <w:pPr>
              <w:jc w:val="center"/>
              <w:rPr>
                <w:sz w:val="22"/>
                <w:szCs w:val="22"/>
                <w:highlight w:val="yellow"/>
              </w:rPr>
            </w:pPr>
            <w:r w:rsidRPr="00815CAD">
              <w:rPr>
                <w:sz w:val="22"/>
                <w:szCs w:val="22"/>
              </w:rPr>
              <w:t>007</w:t>
            </w:r>
          </w:p>
        </w:tc>
        <w:tc>
          <w:tcPr>
            <w:tcW w:w="9236" w:type="dxa"/>
            <w:gridSpan w:val="2"/>
            <w:tcBorders>
              <w:top w:val="single" w:sz="8" w:space="0" w:color="auto"/>
              <w:bottom w:val="single" w:sz="8" w:space="0" w:color="auto"/>
            </w:tcBorders>
          </w:tcPr>
          <w:p w14:paraId="484C1C8E" w14:textId="77777777" w:rsidR="008775B1" w:rsidRPr="008C2C2C" w:rsidRDefault="008775B1" w:rsidP="00DC5A81">
            <w:pPr>
              <w:rPr>
                <w:b/>
                <w:sz w:val="22"/>
                <w:szCs w:val="22"/>
                <w:highlight w:val="yellow"/>
              </w:rPr>
            </w:pPr>
            <w:r w:rsidRPr="00815CAD">
              <w:rPr>
                <w:snapToGrid w:val="0"/>
                <w:sz w:val="22"/>
                <w:szCs w:val="22"/>
              </w:rPr>
              <w:t>Boiler No. 2</w:t>
            </w:r>
          </w:p>
        </w:tc>
      </w:tr>
      <w:tr w:rsidR="008775B1" w:rsidRPr="008C2C2C" w14:paraId="0253692F" w14:textId="77777777" w:rsidTr="00DC5A81">
        <w:tc>
          <w:tcPr>
            <w:tcW w:w="794" w:type="dxa"/>
            <w:tcBorders>
              <w:top w:val="single" w:sz="8" w:space="0" w:color="auto"/>
              <w:bottom w:val="single" w:sz="8" w:space="0" w:color="auto"/>
            </w:tcBorders>
          </w:tcPr>
          <w:p w14:paraId="60DCB480" w14:textId="77777777" w:rsidR="008775B1" w:rsidRPr="008C2C2C" w:rsidRDefault="008775B1" w:rsidP="00DC5A81">
            <w:pPr>
              <w:jc w:val="center"/>
              <w:rPr>
                <w:sz w:val="22"/>
                <w:szCs w:val="22"/>
                <w:highlight w:val="yellow"/>
              </w:rPr>
            </w:pPr>
            <w:r w:rsidRPr="00815CAD">
              <w:rPr>
                <w:sz w:val="22"/>
                <w:szCs w:val="22"/>
              </w:rPr>
              <w:t>008</w:t>
            </w:r>
          </w:p>
        </w:tc>
        <w:tc>
          <w:tcPr>
            <w:tcW w:w="9236" w:type="dxa"/>
            <w:gridSpan w:val="2"/>
            <w:tcBorders>
              <w:top w:val="single" w:sz="8" w:space="0" w:color="auto"/>
              <w:bottom w:val="single" w:sz="8" w:space="0" w:color="auto"/>
            </w:tcBorders>
          </w:tcPr>
          <w:p w14:paraId="0E057482" w14:textId="77777777" w:rsidR="008775B1" w:rsidRPr="008C2C2C" w:rsidRDefault="008775B1" w:rsidP="00DC5A81">
            <w:pPr>
              <w:rPr>
                <w:b/>
                <w:sz w:val="22"/>
                <w:szCs w:val="22"/>
                <w:highlight w:val="yellow"/>
              </w:rPr>
            </w:pPr>
            <w:r w:rsidRPr="00815CAD">
              <w:rPr>
                <w:snapToGrid w:val="0"/>
                <w:sz w:val="22"/>
                <w:szCs w:val="22"/>
              </w:rPr>
              <w:t>Boiler No. 3</w:t>
            </w:r>
          </w:p>
        </w:tc>
      </w:tr>
      <w:tr w:rsidR="008775B1" w:rsidRPr="008C2C2C" w14:paraId="72348CF2" w14:textId="77777777" w:rsidTr="00DC5A81">
        <w:tc>
          <w:tcPr>
            <w:tcW w:w="794" w:type="dxa"/>
            <w:tcBorders>
              <w:top w:val="single" w:sz="8" w:space="0" w:color="auto"/>
              <w:bottom w:val="single" w:sz="8" w:space="0" w:color="auto"/>
            </w:tcBorders>
          </w:tcPr>
          <w:p w14:paraId="54F6EE44" w14:textId="77777777" w:rsidR="008775B1" w:rsidRPr="008C2C2C" w:rsidRDefault="008775B1" w:rsidP="00DC5A81">
            <w:pPr>
              <w:jc w:val="center"/>
              <w:rPr>
                <w:sz w:val="22"/>
                <w:szCs w:val="22"/>
                <w:highlight w:val="yellow"/>
              </w:rPr>
            </w:pPr>
            <w:r w:rsidRPr="00815CAD">
              <w:rPr>
                <w:sz w:val="22"/>
                <w:szCs w:val="22"/>
              </w:rPr>
              <w:t>017</w:t>
            </w:r>
          </w:p>
        </w:tc>
        <w:tc>
          <w:tcPr>
            <w:tcW w:w="9236" w:type="dxa"/>
            <w:gridSpan w:val="2"/>
            <w:tcBorders>
              <w:top w:val="single" w:sz="8" w:space="0" w:color="auto"/>
              <w:bottom w:val="single" w:sz="8" w:space="0" w:color="auto"/>
            </w:tcBorders>
          </w:tcPr>
          <w:p w14:paraId="201F7768" w14:textId="77777777" w:rsidR="008775B1" w:rsidRPr="008C2C2C" w:rsidRDefault="008775B1" w:rsidP="00DC5A81">
            <w:pPr>
              <w:rPr>
                <w:b/>
                <w:sz w:val="22"/>
                <w:szCs w:val="22"/>
                <w:highlight w:val="yellow"/>
              </w:rPr>
            </w:pPr>
            <w:r w:rsidRPr="00815CAD">
              <w:rPr>
                <w:snapToGrid w:val="0"/>
                <w:sz w:val="22"/>
                <w:szCs w:val="22"/>
              </w:rPr>
              <w:t>Boiler No. 4</w:t>
            </w:r>
          </w:p>
        </w:tc>
      </w:tr>
      <w:tr w:rsidR="008775B1" w:rsidRPr="008C2C2C" w14:paraId="24E5CFA9" w14:textId="77777777" w:rsidTr="00DC5A81">
        <w:tc>
          <w:tcPr>
            <w:tcW w:w="794" w:type="dxa"/>
            <w:tcBorders>
              <w:top w:val="single" w:sz="8" w:space="0" w:color="auto"/>
              <w:bottom w:val="single" w:sz="8" w:space="0" w:color="auto"/>
            </w:tcBorders>
          </w:tcPr>
          <w:p w14:paraId="31877827" w14:textId="77777777" w:rsidR="008775B1" w:rsidRPr="008C2C2C" w:rsidRDefault="008775B1" w:rsidP="00DC5A81">
            <w:pPr>
              <w:jc w:val="center"/>
              <w:rPr>
                <w:sz w:val="22"/>
                <w:szCs w:val="22"/>
                <w:highlight w:val="yellow"/>
              </w:rPr>
            </w:pPr>
            <w:r w:rsidRPr="00815CAD">
              <w:rPr>
                <w:sz w:val="22"/>
                <w:szCs w:val="22"/>
              </w:rPr>
              <w:t>016</w:t>
            </w:r>
          </w:p>
        </w:tc>
        <w:tc>
          <w:tcPr>
            <w:tcW w:w="9236" w:type="dxa"/>
            <w:gridSpan w:val="2"/>
            <w:tcBorders>
              <w:top w:val="single" w:sz="8" w:space="0" w:color="auto"/>
              <w:bottom w:val="single" w:sz="8" w:space="0" w:color="auto"/>
            </w:tcBorders>
          </w:tcPr>
          <w:p w14:paraId="3519412B" w14:textId="77777777" w:rsidR="008775B1" w:rsidRPr="008C2C2C" w:rsidRDefault="008775B1" w:rsidP="00DC5A81">
            <w:pPr>
              <w:rPr>
                <w:b/>
                <w:sz w:val="22"/>
                <w:szCs w:val="22"/>
                <w:highlight w:val="yellow"/>
              </w:rPr>
            </w:pPr>
            <w:r w:rsidRPr="00815CAD">
              <w:rPr>
                <w:sz w:val="22"/>
                <w:szCs w:val="22"/>
              </w:rPr>
              <w:t>SPN Fines Solvent Extraction Process</w:t>
            </w:r>
          </w:p>
        </w:tc>
      </w:tr>
      <w:tr w:rsidR="008775B1" w:rsidRPr="008C2C2C" w14:paraId="09DD42CB" w14:textId="77777777" w:rsidTr="00DC5A81">
        <w:tc>
          <w:tcPr>
            <w:tcW w:w="794" w:type="dxa"/>
            <w:tcBorders>
              <w:top w:val="single" w:sz="8" w:space="0" w:color="auto"/>
              <w:bottom w:val="single" w:sz="8" w:space="0" w:color="auto"/>
            </w:tcBorders>
          </w:tcPr>
          <w:p w14:paraId="1F5C5359" w14:textId="77777777" w:rsidR="008775B1" w:rsidRPr="008C2C2C" w:rsidRDefault="008775B1" w:rsidP="00DC5A81">
            <w:pPr>
              <w:jc w:val="center"/>
              <w:rPr>
                <w:sz w:val="22"/>
                <w:szCs w:val="22"/>
                <w:highlight w:val="yellow"/>
              </w:rPr>
            </w:pPr>
            <w:r w:rsidRPr="00E1698A">
              <w:rPr>
                <w:sz w:val="22"/>
                <w:szCs w:val="22"/>
              </w:rPr>
              <w:t>014</w:t>
            </w:r>
          </w:p>
        </w:tc>
        <w:tc>
          <w:tcPr>
            <w:tcW w:w="9236" w:type="dxa"/>
            <w:gridSpan w:val="2"/>
            <w:tcBorders>
              <w:top w:val="single" w:sz="8" w:space="0" w:color="auto"/>
              <w:bottom w:val="single" w:sz="8" w:space="0" w:color="auto"/>
            </w:tcBorders>
          </w:tcPr>
          <w:p w14:paraId="33F645B7" w14:textId="2E458748" w:rsidR="008775B1" w:rsidRPr="008C2C2C" w:rsidRDefault="00864636" w:rsidP="00DC5A81">
            <w:pPr>
              <w:rPr>
                <w:b/>
                <w:sz w:val="22"/>
                <w:szCs w:val="22"/>
                <w:highlight w:val="yellow"/>
              </w:rPr>
            </w:pPr>
            <w:r w:rsidRPr="00BD427D">
              <w:rPr>
                <w:sz w:val="22"/>
                <w:szCs w:val="22"/>
              </w:rPr>
              <w:t>Inedible Animal By-products Protein Conversion Process Line #1</w:t>
            </w:r>
            <w:r>
              <w:rPr>
                <w:sz w:val="22"/>
                <w:szCs w:val="22"/>
              </w:rPr>
              <w:t xml:space="preserve"> (identified by Griffin Industries internally as EU 001)</w:t>
            </w:r>
          </w:p>
        </w:tc>
      </w:tr>
      <w:tr w:rsidR="008775B1" w:rsidRPr="008C2C2C" w14:paraId="3CA028A5" w14:textId="77777777" w:rsidTr="00DC5A81">
        <w:tc>
          <w:tcPr>
            <w:tcW w:w="794" w:type="dxa"/>
            <w:tcBorders>
              <w:top w:val="single" w:sz="8" w:space="0" w:color="auto"/>
            </w:tcBorders>
          </w:tcPr>
          <w:p w14:paraId="085819E6" w14:textId="77777777" w:rsidR="008775B1" w:rsidRPr="00815CAD" w:rsidRDefault="008775B1" w:rsidP="00DC5A81">
            <w:pPr>
              <w:jc w:val="center"/>
              <w:rPr>
                <w:sz w:val="22"/>
                <w:szCs w:val="22"/>
              </w:rPr>
            </w:pPr>
            <w:r w:rsidRPr="00E1698A">
              <w:rPr>
                <w:sz w:val="22"/>
                <w:szCs w:val="22"/>
              </w:rPr>
              <w:t>01</w:t>
            </w:r>
            <w:r>
              <w:rPr>
                <w:sz w:val="22"/>
                <w:szCs w:val="22"/>
              </w:rPr>
              <w:t>9</w:t>
            </w:r>
          </w:p>
        </w:tc>
        <w:tc>
          <w:tcPr>
            <w:tcW w:w="9236" w:type="dxa"/>
            <w:gridSpan w:val="2"/>
            <w:tcBorders>
              <w:top w:val="single" w:sz="8" w:space="0" w:color="auto"/>
            </w:tcBorders>
          </w:tcPr>
          <w:p w14:paraId="36E65037" w14:textId="4B348A4E" w:rsidR="008775B1" w:rsidRPr="00815CAD" w:rsidRDefault="00864636" w:rsidP="00DC5A81">
            <w:pPr>
              <w:rPr>
                <w:snapToGrid w:val="0"/>
                <w:sz w:val="22"/>
                <w:szCs w:val="22"/>
              </w:rPr>
            </w:pPr>
            <w:r w:rsidRPr="00BD427D">
              <w:rPr>
                <w:sz w:val="22"/>
                <w:szCs w:val="22"/>
              </w:rPr>
              <w:t>Inedible Animal By-products Protein Conversion Process Line #</w:t>
            </w:r>
            <w:r>
              <w:rPr>
                <w:sz w:val="22"/>
                <w:szCs w:val="22"/>
              </w:rPr>
              <w:t>3</w:t>
            </w:r>
          </w:p>
        </w:tc>
      </w:tr>
    </w:tbl>
    <w:p w14:paraId="67441389" w14:textId="77777777" w:rsidR="008775B1" w:rsidRDefault="008775B1" w:rsidP="008775B1">
      <w:pPr>
        <w:rPr>
          <w:sz w:val="22"/>
          <w:szCs w:val="22"/>
        </w:rPr>
      </w:pPr>
      <w:r>
        <w:rPr>
          <w:sz w:val="22"/>
          <w:szCs w:val="22"/>
        </w:rPr>
        <w:tab/>
      </w:r>
      <w:r>
        <w:rPr>
          <w:sz w:val="22"/>
          <w:szCs w:val="22"/>
        </w:rPr>
        <w:tab/>
      </w:r>
    </w:p>
    <w:p w14:paraId="39AE678E" w14:textId="77777777" w:rsidR="008775B1" w:rsidRPr="008C2C2C" w:rsidRDefault="008775B1" w:rsidP="008775B1">
      <w:pPr>
        <w:pStyle w:val="BodyText3"/>
        <w:numPr>
          <w:ilvl w:val="12"/>
          <w:numId w:val="0"/>
        </w:numPr>
        <w:rPr>
          <w:szCs w:val="22"/>
        </w:rPr>
      </w:pPr>
      <w:r w:rsidRPr="008C2C2C">
        <w:rPr>
          <w:szCs w:val="22"/>
        </w:rPr>
        <w:t xml:space="preserve">This project will </w:t>
      </w:r>
      <w:r w:rsidRPr="002B2934">
        <w:rPr>
          <w:szCs w:val="22"/>
        </w:rPr>
        <w:t xml:space="preserve">add </w:t>
      </w:r>
      <w:r w:rsidRPr="008C2C2C">
        <w:rPr>
          <w:szCs w:val="22"/>
        </w:rPr>
        <w:t>the following emissions units.</w:t>
      </w:r>
    </w:p>
    <w:tbl>
      <w:tblPr>
        <w:tblW w:w="10030"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29" w:type="dxa"/>
          <w:left w:w="58" w:type="dxa"/>
          <w:bottom w:w="29" w:type="dxa"/>
          <w:right w:w="58" w:type="dxa"/>
        </w:tblCellMar>
        <w:tblLook w:val="0000" w:firstRow="0" w:lastRow="0" w:firstColumn="0" w:lastColumn="0" w:noHBand="0" w:noVBand="0"/>
      </w:tblPr>
      <w:tblGrid>
        <w:gridCol w:w="794"/>
        <w:gridCol w:w="9236"/>
      </w:tblGrid>
      <w:tr w:rsidR="008775B1" w:rsidRPr="008C2C2C" w14:paraId="19FFEA8B" w14:textId="77777777" w:rsidTr="00DC5A81">
        <w:tc>
          <w:tcPr>
            <w:tcW w:w="794" w:type="dxa"/>
            <w:tcBorders>
              <w:bottom w:val="single" w:sz="12" w:space="0" w:color="auto"/>
            </w:tcBorders>
          </w:tcPr>
          <w:p w14:paraId="72C784EE" w14:textId="77777777" w:rsidR="008775B1" w:rsidRPr="008C2C2C" w:rsidRDefault="008775B1" w:rsidP="00DC5A81">
            <w:pPr>
              <w:jc w:val="center"/>
              <w:rPr>
                <w:b/>
                <w:sz w:val="22"/>
                <w:szCs w:val="22"/>
              </w:rPr>
            </w:pPr>
            <w:r w:rsidRPr="008C2C2C">
              <w:rPr>
                <w:b/>
                <w:sz w:val="22"/>
                <w:szCs w:val="22"/>
              </w:rPr>
              <w:t>ID No.</w:t>
            </w:r>
          </w:p>
        </w:tc>
        <w:tc>
          <w:tcPr>
            <w:tcW w:w="9236" w:type="dxa"/>
            <w:tcBorders>
              <w:bottom w:val="single" w:sz="12" w:space="0" w:color="auto"/>
            </w:tcBorders>
          </w:tcPr>
          <w:p w14:paraId="6B439033" w14:textId="77777777" w:rsidR="008775B1" w:rsidRPr="008C2C2C" w:rsidRDefault="008775B1" w:rsidP="00DC5A81">
            <w:pPr>
              <w:rPr>
                <w:sz w:val="22"/>
                <w:szCs w:val="22"/>
              </w:rPr>
            </w:pPr>
            <w:r w:rsidRPr="008C2C2C">
              <w:rPr>
                <w:b/>
                <w:sz w:val="22"/>
                <w:szCs w:val="22"/>
              </w:rPr>
              <w:t>Emission Unit Description</w:t>
            </w:r>
          </w:p>
        </w:tc>
      </w:tr>
      <w:tr w:rsidR="008775B1" w:rsidRPr="008C2C2C" w14:paraId="773BE990" w14:textId="77777777" w:rsidTr="00DC5A81">
        <w:tc>
          <w:tcPr>
            <w:tcW w:w="794" w:type="dxa"/>
            <w:tcBorders>
              <w:bottom w:val="single" w:sz="8" w:space="0" w:color="auto"/>
            </w:tcBorders>
          </w:tcPr>
          <w:p w14:paraId="09D58D46" w14:textId="77777777" w:rsidR="008775B1" w:rsidRPr="00035F80" w:rsidRDefault="008775B1" w:rsidP="00DC5A81">
            <w:pPr>
              <w:jc w:val="center"/>
              <w:rPr>
                <w:sz w:val="22"/>
                <w:szCs w:val="22"/>
              </w:rPr>
            </w:pPr>
            <w:r w:rsidRPr="00035F80">
              <w:rPr>
                <w:sz w:val="22"/>
                <w:szCs w:val="22"/>
              </w:rPr>
              <w:t>020</w:t>
            </w:r>
          </w:p>
        </w:tc>
        <w:tc>
          <w:tcPr>
            <w:tcW w:w="9236" w:type="dxa"/>
            <w:tcBorders>
              <w:bottom w:val="single" w:sz="8" w:space="0" w:color="auto"/>
            </w:tcBorders>
          </w:tcPr>
          <w:p w14:paraId="60996170" w14:textId="157EAD04" w:rsidR="008775B1" w:rsidRPr="00035F80" w:rsidRDefault="00864636" w:rsidP="00DC5A81">
            <w:pPr>
              <w:rPr>
                <w:sz w:val="22"/>
                <w:szCs w:val="22"/>
              </w:rPr>
            </w:pPr>
            <w:r w:rsidRPr="004B54F3">
              <w:rPr>
                <w:bCs/>
                <w:sz w:val="22"/>
                <w:szCs w:val="22"/>
              </w:rPr>
              <w:t>Feather Protein Conversion Process Line</w:t>
            </w:r>
          </w:p>
        </w:tc>
      </w:tr>
    </w:tbl>
    <w:p w14:paraId="514227D9" w14:textId="77777777" w:rsidR="008775B1" w:rsidRDefault="008775B1" w:rsidP="008775B1">
      <w:pPr>
        <w:pStyle w:val="Heading9"/>
        <w:ind w:left="0"/>
        <w:rPr>
          <w:b/>
          <w:bCs/>
          <w:sz w:val="24"/>
          <w:szCs w:val="24"/>
          <w:u w:val="none"/>
        </w:rPr>
      </w:pPr>
    </w:p>
    <w:p w14:paraId="3A05A1AC" w14:textId="77777777" w:rsidR="008775B1" w:rsidRPr="00083B17" w:rsidRDefault="008775B1" w:rsidP="008775B1">
      <w:pPr>
        <w:pStyle w:val="Heading9"/>
        <w:ind w:left="0"/>
        <w:rPr>
          <w:b/>
          <w:bCs/>
          <w:sz w:val="24"/>
          <w:szCs w:val="24"/>
          <w:u w:val="none"/>
        </w:rPr>
      </w:pPr>
      <w:r w:rsidRPr="00083B17">
        <w:rPr>
          <w:b/>
          <w:bCs/>
          <w:sz w:val="24"/>
          <w:szCs w:val="24"/>
          <w:u w:val="none"/>
        </w:rPr>
        <w:t>1.</w:t>
      </w:r>
      <w:r>
        <w:rPr>
          <w:b/>
          <w:bCs/>
          <w:sz w:val="24"/>
          <w:szCs w:val="24"/>
          <w:u w:val="none"/>
        </w:rPr>
        <w:t>6</w:t>
      </w:r>
      <w:r w:rsidRPr="00083B17">
        <w:rPr>
          <w:b/>
          <w:bCs/>
          <w:sz w:val="24"/>
          <w:szCs w:val="24"/>
          <w:u w:val="none"/>
        </w:rPr>
        <w:t>. Processing Schedule</w:t>
      </w:r>
    </w:p>
    <w:p w14:paraId="05180367" w14:textId="30D7964F" w:rsidR="008775B1" w:rsidRDefault="008775B1" w:rsidP="008775B1">
      <w:pPr>
        <w:pStyle w:val="BodyText"/>
        <w:widowControl w:val="0"/>
        <w:numPr>
          <w:ilvl w:val="12"/>
          <w:numId w:val="0"/>
        </w:numPr>
        <w:spacing w:after="60"/>
        <w:rPr>
          <w:sz w:val="22"/>
        </w:rPr>
      </w:pPr>
      <w:r>
        <w:rPr>
          <w:sz w:val="22"/>
        </w:rPr>
        <w:t>0</w:t>
      </w:r>
      <w:r w:rsidR="00DB119F">
        <w:rPr>
          <w:sz w:val="22"/>
        </w:rPr>
        <w:t>8</w:t>
      </w:r>
      <w:r>
        <w:rPr>
          <w:sz w:val="22"/>
        </w:rPr>
        <w:t>/04/</w:t>
      </w:r>
      <w:r w:rsidRPr="00866E9C">
        <w:rPr>
          <w:sz w:val="22"/>
        </w:rPr>
        <w:t>201</w:t>
      </w:r>
      <w:r>
        <w:rPr>
          <w:sz w:val="22"/>
        </w:rPr>
        <w:t>5</w:t>
      </w:r>
      <w:r w:rsidRPr="00782ABD">
        <w:rPr>
          <w:sz w:val="22"/>
        </w:rPr>
        <w:tab/>
      </w:r>
      <w:r>
        <w:rPr>
          <w:sz w:val="22"/>
        </w:rPr>
        <w:tab/>
      </w:r>
      <w:r w:rsidRPr="00D41481">
        <w:rPr>
          <w:sz w:val="22"/>
          <w:szCs w:val="22"/>
        </w:rPr>
        <w:t>Department received the Application for Air Permit – Long Form</w:t>
      </w:r>
      <w:r w:rsidRPr="00782ABD">
        <w:rPr>
          <w:sz w:val="22"/>
        </w:rPr>
        <w:t>.</w:t>
      </w:r>
    </w:p>
    <w:p w14:paraId="05473793" w14:textId="2D3ADB3D" w:rsidR="008775B1" w:rsidRDefault="008775B1" w:rsidP="008775B1">
      <w:pPr>
        <w:pStyle w:val="BodyText"/>
        <w:widowControl w:val="0"/>
        <w:numPr>
          <w:ilvl w:val="12"/>
          <w:numId w:val="0"/>
        </w:numPr>
        <w:spacing w:after="60"/>
        <w:rPr>
          <w:sz w:val="22"/>
        </w:rPr>
      </w:pPr>
      <w:r>
        <w:rPr>
          <w:sz w:val="22"/>
        </w:rPr>
        <w:t>0</w:t>
      </w:r>
      <w:r w:rsidR="00DB119F">
        <w:rPr>
          <w:sz w:val="22"/>
        </w:rPr>
        <w:t>8</w:t>
      </w:r>
      <w:r>
        <w:rPr>
          <w:sz w:val="22"/>
        </w:rPr>
        <w:t>/</w:t>
      </w:r>
      <w:r w:rsidR="00DB119F">
        <w:rPr>
          <w:sz w:val="22"/>
        </w:rPr>
        <w:t>28</w:t>
      </w:r>
      <w:r>
        <w:rPr>
          <w:sz w:val="22"/>
        </w:rPr>
        <w:t>/2015</w:t>
      </w:r>
      <w:r>
        <w:rPr>
          <w:sz w:val="22"/>
        </w:rPr>
        <w:tab/>
      </w:r>
      <w:r>
        <w:rPr>
          <w:sz w:val="22"/>
        </w:rPr>
        <w:tab/>
        <w:t xml:space="preserve">Department </w:t>
      </w:r>
      <w:r w:rsidR="00DB119F">
        <w:rPr>
          <w:sz w:val="22"/>
        </w:rPr>
        <w:t>requested Additional Information</w:t>
      </w:r>
    </w:p>
    <w:p w14:paraId="1D76D725" w14:textId="4E8AAC43" w:rsidR="00DB119F" w:rsidRDefault="008775B1" w:rsidP="008775B1">
      <w:pPr>
        <w:pStyle w:val="BodyText"/>
        <w:widowControl w:val="0"/>
        <w:numPr>
          <w:ilvl w:val="12"/>
          <w:numId w:val="0"/>
        </w:numPr>
        <w:spacing w:after="60"/>
        <w:rPr>
          <w:sz w:val="22"/>
        </w:rPr>
      </w:pPr>
      <w:r w:rsidRPr="008A4E1D">
        <w:rPr>
          <w:sz w:val="22"/>
        </w:rPr>
        <w:t>0</w:t>
      </w:r>
      <w:r w:rsidR="00DB119F">
        <w:rPr>
          <w:sz w:val="22"/>
        </w:rPr>
        <w:t>9</w:t>
      </w:r>
      <w:r w:rsidRPr="008A4E1D">
        <w:rPr>
          <w:sz w:val="22"/>
        </w:rPr>
        <w:t>/</w:t>
      </w:r>
      <w:r w:rsidR="00DB119F">
        <w:rPr>
          <w:sz w:val="22"/>
        </w:rPr>
        <w:t>14</w:t>
      </w:r>
      <w:r w:rsidRPr="008A4E1D">
        <w:rPr>
          <w:sz w:val="22"/>
        </w:rPr>
        <w:t>/2015</w:t>
      </w:r>
      <w:r>
        <w:rPr>
          <w:sz w:val="22"/>
        </w:rPr>
        <w:t xml:space="preserve"> </w:t>
      </w:r>
      <w:r>
        <w:rPr>
          <w:sz w:val="22"/>
        </w:rPr>
        <w:tab/>
      </w:r>
      <w:r>
        <w:rPr>
          <w:sz w:val="22"/>
        </w:rPr>
        <w:tab/>
      </w:r>
      <w:r w:rsidR="00DB119F">
        <w:rPr>
          <w:sz w:val="22"/>
        </w:rPr>
        <w:t>Additional Information response received</w:t>
      </w:r>
    </w:p>
    <w:p w14:paraId="182BBBE0" w14:textId="45BC01CF" w:rsidR="008775B1" w:rsidRDefault="00DB119F" w:rsidP="008775B1">
      <w:pPr>
        <w:pStyle w:val="BodyText"/>
        <w:widowControl w:val="0"/>
        <w:numPr>
          <w:ilvl w:val="12"/>
          <w:numId w:val="0"/>
        </w:numPr>
        <w:spacing w:after="60"/>
        <w:rPr>
          <w:sz w:val="22"/>
        </w:rPr>
      </w:pPr>
      <w:r>
        <w:rPr>
          <w:sz w:val="22"/>
        </w:rPr>
        <w:t>1</w:t>
      </w:r>
      <w:r w:rsidR="004E0C80">
        <w:rPr>
          <w:sz w:val="22"/>
        </w:rPr>
        <w:t>1</w:t>
      </w:r>
      <w:r>
        <w:rPr>
          <w:sz w:val="22"/>
        </w:rPr>
        <w:t>/</w:t>
      </w:r>
      <w:r w:rsidR="0029683B">
        <w:rPr>
          <w:sz w:val="22"/>
        </w:rPr>
        <w:t>17</w:t>
      </w:r>
      <w:r>
        <w:rPr>
          <w:sz w:val="22"/>
        </w:rPr>
        <w:t>/</w:t>
      </w:r>
      <w:r w:rsidR="0029683B">
        <w:rPr>
          <w:sz w:val="22"/>
        </w:rPr>
        <w:t>20</w:t>
      </w:r>
      <w:r>
        <w:rPr>
          <w:sz w:val="22"/>
        </w:rPr>
        <w:t>15</w:t>
      </w:r>
      <w:r>
        <w:rPr>
          <w:sz w:val="22"/>
        </w:rPr>
        <w:tab/>
      </w:r>
      <w:r>
        <w:rPr>
          <w:sz w:val="22"/>
        </w:rPr>
        <w:tab/>
      </w:r>
      <w:r w:rsidR="008775B1">
        <w:rPr>
          <w:sz w:val="22"/>
        </w:rPr>
        <w:t>Draft Permit Issued</w:t>
      </w:r>
    </w:p>
    <w:p w14:paraId="22BEEFE8" w14:textId="663E02DF" w:rsidR="00F215E8" w:rsidRDefault="00F215E8" w:rsidP="008775B1">
      <w:pPr>
        <w:pStyle w:val="BodyText"/>
        <w:widowControl w:val="0"/>
        <w:numPr>
          <w:ilvl w:val="12"/>
          <w:numId w:val="0"/>
        </w:numPr>
        <w:spacing w:after="60"/>
        <w:rPr>
          <w:sz w:val="22"/>
        </w:rPr>
      </w:pPr>
      <w:r>
        <w:rPr>
          <w:sz w:val="22"/>
        </w:rPr>
        <w:t>12/</w:t>
      </w:r>
      <w:r w:rsidR="002B1F68">
        <w:rPr>
          <w:sz w:val="22"/>
        </w:rPr>
        <w:t>15</w:t>
      </w:r>
      <w:r>
        <w:rPr>
          <w:sz w:val="22"/>
        </w:rPr>
        <w:t>/2015</w:t>
      </w:r>
      <w:r>
        <w:rPr>
          <w:sz w:val="22"/>
        </w:rPr>
        <w:tab/>
      </w:r>
      <w:r>
        <w:rPr>
          <w:sz w:val="22"/>
        </w:rPr>
        <w:tab/>
        <w:t>New Draft Permit Issued</w:t>
      </w:r>
    </w:p>
    <w:p w14:paraId="3DFC708E" w14:textId="77777777" w:rsidR="00F23698" w:rsidRDefault="00F23698" w:rsidP="00F23698">
      <w:pPr>
        <w:pStyle w:val="BodyText3"/>
        <w:numPr>
          <w:ilvl w:val="12"/>
          <w:numId w:val="0"/>
        </w:numPr>
        <w:rPr>
          <w:b/>
          <w:szCs w:val="22"/>
        </w:rPr>
      </w:pPr>
    </w:p>
    <w:p w14:paraId="6C026BFB" w14:textId="13ECDC1A" w:rsidR="00F23698" w:rsidRDefault="00F23698" w:rsidP="008775B1">
      <w:pPr>
        <w:pStyle w:val="BodyText3"/>
        <w:numPr>
          <w:ilvl w:val="12"/>
          <w:numId w:val="0"/>
        </w:numPr>
        <w:tabs>
          <w:tab w:val="right" w:pos="14040"/>
        </w:tabs>
        <w:jc w:val="both"/>
        <w:rPr>
          <w:b/>
          <w:szCs w:val="22"/>
        </w:rPr>
        <w:sectPr w:rsidR="00F23698" w:rsidSect="008775B1">
          <w:headerReference w:type="even" r:id="rId16"/>
          <w:headerReference w:type="default" r:id="rId17"/>
          <w:footerReference w:type="default" r:id="rId18"/>
          <w:headerReference w:type="first" r:id="rId19"/>
          <w:pgSz w:w="12240" w:h="15840" w:code="1"/>
          <w:pgMar w:top="720" w:right="1080" w:bottom="720" w:left="1080" w:header="720" w:footer="720" w:gutter="0"/>
          <w:paperSrc w:first="15" w:other="15"/>
          <w:cols w:space="720"/>
          <w:docGrid w:linePitch="360"/>
        </w:sectPr>
      </w:pPr>
      <w:r>
        <w:rPr>
          <w:b/>
          <w:szCs w:val="22"/>
        </w:rPr>
        <w:tab/>
      </w:r>
    </w:p>
    <w:p w14:paraId="33F56F20" w14:textId="77777777" w:rsidR="00F23698" w:rsidRDefault="00F23698" w:rsidP="00F23698">
      <w:pPr>
        <w:rPr>
          <w:b/>
          <w:sz w:val="22"/>
          <w:szCs w:val="22"/>
        </w:rPr>
      </w:pPr>
    </w:p>
    <w:p w14:paraId="70ACC74C" w14:textId="77777777" w:rsidR="00E5288F" w:rsidRPr="00746205" w:rsidRDefault="00E5288F" w:rsidP="00E5288F">
      <w:pPr>
        <w:pStyle w:val="ListParagraph"/>
        <w:widowControl w:val="0"/>
        <w:numPr>
          <w:ilvl w:val="0"/>
          <w:numId w:val="15"/>
        </w:numPr>
        <w:spacing w:after="120"/>
        <w:contextualSpacing w:val="0"/>
        <w:rPr>
          <w:b/>
          <w:caps/>
          <w:sz w:val="22"/>
          <w:szCs w:val="22"/>
        </w:rPr>
      </w:pPr>
      <w:r w:rsidRPr="00746205">
        <w:rPr>
          <w:b/>
          <w:caps/>
          <w:sz w:val="22"/>
          <w:szCs w:val="22"/>
        </w:rPr>
        <w:t>Applicable Regulations</w:t>
      </w:r>
    </w:p>
    <w:p w14:paraId="2F66B2DC" w14:textId="77777777" w:rsidR="00E5288F" w:rsidRPr="004F1E5C" w:rsidRDefault="00E5288F" w:rsidP="00E5288F">
      <w:pPr>
        <w:pStyle w:val="ListParagraph"/>
        <w:widowControl w:val="0"/>
        <w:numPr>
          <w:ilvl w:val="1"/>
          <w:numId w:val="15"/>
        </w:numPr>
        <w:spacing w:after="120"/>
        <w:ind w:left="720" w:hanging="720"/>
        <w:contextualSpacing w:val="0"/>
        <w:rPr>
          <w:b/>
          <w:caps/>
          <w:sz w:val="22"/>
          <w:szCs w:val="22"/>
        </w:rPr>
      </w:pPr>
      <w:r w:rsidRPr="004F1E5C">
        <w:rPr>
          <w:b/>
          <w:sz w:val="22"/>
          <w:szCs w:val="22"/>
        </w:rPr>
        <w:t>State Regulations</w:t>
      </w:r>
    </w:p>
    <w:p w14:paraId="11E86C54" w14:textId="19F8635B" w:rsidR="00E5288F" w:rsidRDefault="00E5288F" w:rsidP="00E5288F">
      <w:pPr>
        <w:pStyle w:val="BodyText2"/>
        <w:widowControl w:val="0"/>
        <w:numPr>
          <w:ilvl w:val="0"/>
          <w:numId w:val="0"/>
        </w:numPr>
        <w:jc w:val="left"/>
        <w:rPr>
          <w:szCs w:val="22"/>
        </w:rPr>
      </w:pPr>
      <w:r w:rsidRPr="00290299">
        <w:t xml:space="preserve">This project is subject to the applicable environmental laws specified in Section 403 of the Florida Statutes (F.S.).  The Florida Statutes authorize the Department of Environmental Protection to establish rules and regulations regarding air quality as part of the Florida Administrative Code (F.A.C.).  This project is subject to the applicable rules and regulations defined in the following Chapters </w:t>
      </w:r>
      <w:r>
        <w:t xml:space="preserve">of the </w:t>
      </w:r>
      <w:r w:rsidRPr="00290299">
        <w:t>F</w:t>
      </w:r>
      <w:r>
        <w:t>.A.C.</w:t>
      </w:r>
      <w:r w:rsidRPr="00290299">
        <w:t xml:space="preserve">:  </w:t>
      </w:r>
      <w:r w:rsidRPr="00290299">
        <w:rPr>
          <w:szCs w:val="22"/>
        </w:rPr>
        <w:t xml:space="preserve">62-4 (Permitting Requirements); 62-204 (Ambient Air Quality Requirements, PSD Increments, and Federal Regulations Adopted by Reference); 62-210 (Permits Required, Public Notice, Reports, Stack Height Policy, Circumvention, Excess Emissions, and Forms); 62-212 (Preconstruction Review, PSD Review and </w:t>
      </w:r>
      <w:r w:rsidRPr="00F036BF">
        <w:rPr>
          <w:szCs w:val="22"/>
        </w:rPr>
        <w:t>BACT</w:t>
      </w:r>
      <w:r w:rsidRPr="00290299">
        <w:rPr>
          <w:szCs w:val="22"/>
        </w:rPr>
        <w:t>); 62-213 (Title V Air Operation Permits for Major Sources of Air Pollution); 62-296 (Emission Limiting Standards); and 62-297 (Test Methods and Procedures, Continuous Monitoring Specifications, and Alternate Sampling Procedures).</w:t>
      </w:r>
      <w:r>
        <w:rPr>
          <w:szCs w:val="22"/>
        </w:rPr>
        <w:t xml:space="preserve">  PSD applicability and the preconstruction review requirements of Rule 62-212.400, F.A.C. are discussed in Section </w:t>
      </w:r>
      <w:r w:rsidR="009A243F">
        <w:rPr>
          <w:szCs w:val="22"/>
        </w:rPr>
        <w:t>3</w:t>
      </w:r>
      <w:r>
        <w:rPr>
          <w:szCs w:val="22"/>
        </w:rPr>
        <w:t xml:space="preserve"> of this report.  Additional details of the other </w:t>
      </w:r>
      <w:r w:rsidRPr="00290299">
        <w:rPr>
          <w:szCs w:val="22"/>
        </w:rPr>
        <w:t xml:space="preserve">state regulations are </w:t>
      </w:r>
      <w:r>
        <w:rPr>
          <w:szCs w:val="22"/>
        </w:rPr>
        <w:t xml:space="preserve">provided in Section </w:t>
      </w:r>
      <w:r w:rsidR="009A243F">
        <w:rPr>
          <w:szCs w:val="22"/>
        </w:rPr>
        <w:t>4</w:t>
      </w:r>
      <w:r>
        <w:rPr>
          <w:szCs w:val="22"/>
        </w:rPr>
        <w:t xml:space="preserve"> of this report</w:t>
      </w:r>
      <w:r w:rsidRPr="00290299">
        <w:rPr>
          <w:szCs w:val="22"/>
        </w:rPr>
        <w:t>.</w:t>
      </w:r>
    </w:p>
    <w:p w14:paraId="1C909428" w14:textId="77777777" w:rsidR="00E5288F" w:rsidRPr="004F1E5C" w:rsidRDefault="00E5288F" w:rsidP="00E5288F">
      <w:pPr>
        <w:pStyle w:val="ListParagraph"/>
        <w:widowControl w:val="0"/>
        <w:numPr>
          <w:ilvl w:val="1"/>
          <w:numId w:val="15"/>
        </w:numPr>
        <w:spacing w:after="120"/>
        <w:ind w:left="720" w:hanging="720"/>
        <w:contextualSpacing w:val="0"/>
        <w:rPr>
          <w:b/>
          <w:sz w:val="22"/>
          <w:szCs w:val="22"/>
        </w:rPr>
      </w:pPr>
      <w:r w:rsidRPr="004F1E5C">
        <w:rPr>
          <w:b/>
          <w:sz w:val="22"/>
          <w:szCs w:val="22"/>
        </w:rPr>
        <w:t>Federal Regulations</w:t>
      </w:r>
    </w:p>
    <w:p w14:paraId="71907A80" w14:textId="34E923DA" w:rsidR="00E5288F" w:rsidRDefault="00E5288F" w:rsidP="00E5288F">
      <w:pPr>
        <w:pStyle w:val="BodyText2"/>
        <w:widowControl w:val="0"/>
        <w:numPr>
          <w:ilvl w:val="0"/>
          <w:numId w:val="0"/>
        </w:numPr>
        <w:jc w:val="left"/>
      </w:pPr>
      <w:r w:rsidRPr="00290299">
        <w:t xml:space="preserve">The Environmental Protection Agency </w:t>
      </w:r>
      <w:r>
        <w:t xml:space="preserve">(EPA) </w:t>
      </w:r>
      <w:r w:rsidRPr="00290299">
        <w:t xml:space="preserve">establishes air quality regulations in Title 40 of the Code of Federal Regulations (CFR).  Part 60 identifies New Source Performance Standards (NSPS) for a variety of industrial activities.  Part 61 specifies NESHAP based on specific pollutants.  Part 63 </w:t>
      </w:r>
      <w:r>
        <w:t xml:space="preserve">specifies </w:t>
      </w:r>
      <w:r w:rsidRPr="00290299">
        <w:t xml:space="preserve">NESHAP </w:t>
      </w:r>
      <w:r>
        <w:t xml:space="preserve">provisions </w:t>
      </w:r>
      <w:r w:rsidRPr="00290299">
        <w:t>based on the Maximum Achievable Control Technology (MACT) for given source categories.  Federal regulations are adopted in Rule 62-204.800, F.A.C.</w:t>
      </w:r>
      <w:r>
        <w:t xml:space="preserve">  </w:t>
      </w:r>
      <w:r>
        <w:rPr>
          <w:szCs w:val="22"/>
        </w:rPr>
        <w:t xml:space="preserve">Additional details of the applicable federal </w:t>
      </w:r>
      <w:r w:rsidRPr="00290299">
        <w:rPr>
          <w:szCs w:val="22"/>
        </w:rPr>
        <w:t xml:space="preserve">regulations are </w:t>
      </w:r>
      <w:r>
        <w:rPr>
          <w:szCs w:val="22"/>
        </w:rPr>
        <w:t xml:space="preserve">provided in </w:t>
      </w:r>
      <w:r w:rsidRPr="009A243F">
        <w:rPr>
          <w:szCs w:val="22"/>
        </w:rPr>
        <w:t xml:space="preserve">Section </w:t>
      </w:r>
      <w:r w:rsidR="009A243F" w:rsidRPr="009A243F">
        <w:rPr>
          <w:szCs w:val="22"/>
        </w:rPr>
        <w:t>4</w:t>
      </w:r>
      <w:r>
        <w:rPr>
          <w:szCs w:val="22"/>
        </w:rPr>
        <w:t xml:space="preserve"> of this report</w:t>
      </w:r>
      <w:r w:rsidRPr="00290299">
        <w:rPr>
          <w:szCs w:val="22"/>
        </w:rPr>
        <w:t>.</w:t>
      </w:r>
    </w:p>
    <w:p w14:paraId="4BF9CEF7" w14:textId="4985B06C" w:rsidR="00E5288F" w:rsidRDefault="00E5288F" w:rsidP="00E5288F">
      <w:pPr>
        <w:rPr>
          <w:b/>
          <w:color w:val="000000"/>
          <w:sz w:val="22"/>
          <w:szCs w:val="22"/>
        </w:rPr>
      </w:pPr>
    </w:p>
    <w:p w14:paraId="1380F185" w14:textId="1DAA642E" w:rsidR="00BB3F3E" w:rsidRPr="00686D43" w:rsidRDefault="00BB3F3E" w:rsidP="004C7730">
      <w:pPr>
        <w:pStyle w:val="ListParagraph"/>
        <w:numPr>
          <w:ilvl w:val="0"/>
          <w:numId w:val="18"/>
        </w:numPr>
        <w:spacing w:after="120"/>
        <w:ind w:left="360"/>
        <w:rPr>
          <w:b/>
          <w:caps/>
          <w:sz w:val="24"/>
          <w:szCs w:val="24"/>
        </w:rPr>
      </w:pPr>
      <w:r w:rsidRPr="00686D43">
        <w:rPr>
          <w:b/>
          <w:caps/>
          <w:sz w:val="24"/>
          <w:szCs w:val="24"/>
        </w:rPr>
        <w:t>PSD Applicability</w:t>
      </w:r>
    </w:p>
    <w:p w14:paraId="54BE46EB" w14:textId="0660301C" w:rsidR="00BB3F3E" w:rsidRPr="00686D43" w:rsidRDefault="00E5288F" w:rsidP="00BB3F3E">
      <w:pPr>
        <w:pStyle w:val="BodyText"/>
        <w:rPr>
          <w:b/>
          <w:szCs w:val="24"/>
        </w:rPr>
      </w:pPr>
      <w:r>
        <w:rPr>
          <w:b/>
          <w:szCs w:val="24"/>
        </w:rPr>
        <w:t>3.1</w:t>
      </w:r>
      <w:r>
        <w:rPr>
          <w:b/>
          <w:szCs w:val="24"/>
        </w:rPr>
        <w:tab/>
      </w:r>
      <w:r w:rsidR="00BB3F3E" w:rsidRPr="00686D43">
        <w:rPr>
          <w:b/>
          <w:szCs w:val="24"/>
        </w:rPr>
        <w:t>General PSD Applicability</w:t>
      </w:r>
    </w:p>
    <w:p w14:paraId="22B389C7" w14:textId="77777777" w:rsidR="00BB3F3E" w:rsidRPr="00D41481" w:rsidRDefault="00BB3F3E" w:rsidP="00BB3F3E">
      <w:pPr>
        <w:pStyle w:val="BodyText"/>
        <w:widowControl w:val="0"/>
        <w:rPr>
          <w:sz w:val="22"/>
          <w:szCs w:val="22"/>
        </w:rPr>
      </w:pPr>
      <w:r w:rsidRPr="00D41481">
        <w:rPr>
          <w:sz w:val="22"/>
          <w:szCs w:val="22"/>
        </w:rPr>
        <w:t xml:space="preserve">For areas currently in attainment with the state and federal AAQS or areas otherwise designated as unclassifiable, the Department regulates major stationary sources of air pollution in accordance with Florida’s PSD preconstruction review program as defined in Rule 62-212.400, F.A.C.  Under preconstruction review, the Department first must determine if a project is subject to the PSD requirements (“PSD applicability review”) and, if so, must conduct a PSD preconstruction review.  A PSD applicability review is required for projects at new and existing major stationary sources.  In addition, proposed projects at existing minor sources are subject to a PSD applicability review to determine whether potential emissions </w:t>
      </w:r>
      <w:r w:rsidRPr="00D41481">
        <w:rPr>
          <w:i/>
          <w:sz w:val="22"/>
          <w:szCs w:val="22"/>
        </w:rPr>
        <w:t>from the proposed project itself</w:t>
      </w:r>
      <w:r w:rsidRPr="00D41481">
        <w:rPr>
          <w:sz w:val="22"/>
          <w:szCs w:val="22"/>
        </w:rPr>
        <w:t xml:space="preserve"> will exceed the PSD major stationary source thresholds.  A facility is considered a major stationary source with respect to PSD if it emits or has the potential to emit:</w:t>
      </w:r>
    </w:p>
    <w:p w14:paraId="5CB95A0D" w14:textId="77777777" w:rsidR="00BB3F3E" w:rsidRPr="00D41481" w:rsidRDefault="00BB3F3E" w:rsidP="00E5288F">
      <w:pPr>
        <w:pStyle w:val="BodyText"/>
        <w:widowControl w:val="0"/>
        <w:numPr>
          <w:ilvl w:val="0"/>
          <w:numId w:val="2"/>
        </w:numPr>
        <w:rPr>
          <w:sz w:val="22"/>
          <w:szCs w:val="22"/>
        </w:rPr>
      </w:pPr>
      <w:r w:rsidRPr="00D41481">
        <w:rPr>
          <w:sz w:val="22"/>
          <w:szCs w:val="22"/>
        </w:rPr>
        <w:t>250 tons per year or more of any regulated air pollutant; or</w:t>
      </w:r>
    </w:p>
    <w:p w14:paraId="3FBE80B6" w14:textId="42B5460D" w:rsidR="00F97BA9" w:rsidRPr="007C2405" w:rsidRDefault="00BB3F3E" w:rsidP="00E5288F">
      <w:pPr>
        <w:pStyle w:val="BodyText"/>
        <w:widowControl w:val="0"/>
        <w:numPr>
          <w:ilvl w:val="0"/>
          <w:numId w:val="2"/>
        </w:numPr>
        <w:rPr>
          <w:sz w:val="22"/>
          <w:szCs w:val="22"/>
        </w:rPr>
      </w:pPr>
      <w:r w:rsidRPr="007C2405">
        <w:rPr>
          <w:sz w:val="22"/>
          <w:szCs w:val="22"/>
        </w:rPr>
        <w:t>100 tons per year or more of any regulated air pollutant and the facility belongs to one of the following 28 PSD-major facility categories:  fossil fuel-fired steam electric plants of more than 250 million British thermal units per hour heat input, coal cleaning plants (with thermal dryers), Kraft pulp mills, Portland cement plants, primary zinc smelters, iron and steel mill plants, primary aluminum ore reduction plants, primary copper smelters, municipal incinerators capable of charging more than 250 tons of refuse per day, hydrofluoric, sulfuric, and nitric acid plants, petroleum refineries, lime plants, phosphate rock processing plants, coke oven batteries, sulfur recovery plants, carbon black plants (furnace process), primary lead smelters, fuel conversion plants, sintering plants, secondary metal production plants, chemical process plants, fossil fuel boilers (or combinations thereof) totaling more than 250 million British thermal units per hour heat input, petroleum storage and transfer units with a total storage capacity exceeding 300,000 barrels, taconite ore processing plants, glass fiber processing plants and charcoal production plants.</w:t>
      </w:r>
      <w:r w:rsidR="00F97BA9" w:rsidRPr="007C2405">
        <w:rPr>
          <w:sz w:val="22"/>
          <w:szCs w:val="22"/>
        </w:rPr>
        <w:br w:type="page"/>
      </w:r>
    </w:p>
    <w:p w14:paraId="719B143E" w14:textId="611362B4" w:rsidR="00BB3F3E" w:rsidRPr="00D41481" w:rsidRDefault="00BB3F3E" w:rsidP="00BB3F3E">
      <w:pPr>
        <w:pStyle w:val="BodyText"/>
        <w:rPr>
          <w:sz w:val="22"/>
          <w:szCs w:val="22"/>
        </w:rPr>
      </w:pPr>
      <w:r w:rsidRPr="00D41481">
        <w:rPr>
          <w:sz w:val="22"/>
          <w:szCs w:val="22"/>
        </w:rPr>
        <w:lastRenderedPageBreak/>
        <w:t>Once it is determined that a project is subject to PSD preconstruction review, the project emissions are compared to the “significant emission rates” defined in Rule 62-210.200, F.A.C. for the following pollutants:  carbon monoxide (CO); nitrogen oxides (NO</w:t>
      </w:r>
      <w:r w:rsidRPr="00D41481">
        <w:rPr>
          <w:sz w:val="22"/>
          <w:szCs w:val="22"/>
          <w:vertAlign w:val="subscript"/>
        </w:rPr>
        <w:t>X</w:t>
      </w:r>
      <w:r w:rsidRPr="00D41481">
        <w:rPr>
          <w:sz w:val="22"/>
          <w:szCs w:val="22"/>
        </w:rPr>
        <w:t>); sulfur dioxide (SO</w:t>
      </w:r>
      <w:r w:rsidRPr="00D41481">
        <w:rPr>
          <w:sz w:val="22"/>
          <w:szCs w:val="22"/>
          <w:vertAlign w:val="subscript"/>
        </w:rPr>
        <w:t>2</w:t>
      </w:r>
      <w:r w:rsidRPr="00D41481">
        <w:rPr>
          <w:sz w:val="22"/>
          <w:szCs w:val="22"/>
        </w:rPr>
        <w:t>); particulate matter (PM); particulate matter with a mean particle diameter of 10 microns or less (PM</w:t>
      </w:r>
      <w:r w:rsidRPr="00D41481">
        <w:rPr>
          <w:sz w:val="22"/>
          <w:szCs w:val="22"/>
          <w:vertAlign w:val="subscript"/>
        </w:rPr>
        <w:t>10</w:t>
      </w:r>
      <w:r w:rsidRPr="00D41481">
        <w:rPr>
          <w:sz w:val="22"/>
          <w:szCs w:val="22"/>
        </w:rPr>
        <w:t>); volatile organic compounds (VOC); lead (Pb); fluorides (Fl); sulfuric acid mist (SAM); hydrogen sulfide (H</w:t>
      </w:r>
      <w:r w:rsidRPr="00D41481">
        <w:rPr>
          <w:sz w:val="22"/>
          <w:szCs w:val="22"/>
          <w:vertAlign w:val="subscript"/>
        </w:rPr>
        <w:t>2</w:t>
      </w:r>
      <w:r w:rsidRPr="00D41481">
        <w:rPr>
          <w:sz w:val="22"/>
          <w:szCs w:val="22"/>
        </w:rPr>
        <w:t>S); total reduced sulfur (TRS), including H</w:t>
      </w:r>
      <w:r w:rsidRPr="00D41481">
        <w:rPr>
          <w:sz w:val="22"/>
          <w:szCs w:val="22"/>
          <w:vertAlign w:val="subscript"/>
        </w:rPr>
        <w:t>2</w:t>
      </w:r>
      <w:r w:rsidRPr="00D41481">
        <w:rPr>
          <w:sz w:val="22"/>
          <w:szCs w:val="22"/>
        </w:rPr>
        <w:t>S; reduced sulfur compounds, including H</w:t>
      </w:r>
      <w:r w:rsidRPr="00D41481">
        <w:rPr>
          <w:sz w:val="22"/>
          <w:szCs w:val="22"/>
          <w:vertAlign w:val="subscript"/>
        </w:rPr>
        <w:t>2</w:t>
      </w:r>
      <w:r w:rsidRPr="00D41481">
        <w:rPr>
          <w:sz w:val="22"/>
          <w:szCs w:val="22"/>
        </w:rPr>
        <w:t>S; municipal waste combustor organics measured as total tetra- through octa-chlorinated dibenzo-p-dioxins and dibenzofurans; municipal waste combustor metals measured as particulate matter; municipal waste combustor acid gases measured as SO</w:t>
      </w:r>
      <w:r w:rsidRPr="00D41481">
        <w:rPr>
          <w:sz w:val="22"/>
          <w:szCs w:val="22"/>
          <w:vertAlign w:val="subscript"/>
        </w:rPr>
        <w:t>2</w:t>
      </w:r>
      <w:r w:rsidRPr="00D41481">
        <w:rPr>
          <w:sz w:val="22"/>
          <w:szCs w:val="22"/>
        </w:rPr>
        <w:t xml:space="preserve"> and hydrogen chloride (HCl); municipal solid waste landfills emissions measured as non-methane organic compounds (NMOC); and mercury (Hg).  In addition, significant emissions rate also means any emissions rate or any net emissions increase associated with a major stationary source or major modification which would construct within 10 kilometers of a Class I area and have an impact on such area equal to or greater than 1 μg/m</w:t>
      </w:r>
      <w:r w:rsidRPr="00D41481">
        <w:rPr>
          <w:sz w:val="22"/>
          <w:szCs w:val="22"/>
          <w:vertAlign w:val="superscript"/>
        </w:rPr>
        <w:t>3</w:t>
      </w:r>
      <w:r w:rsidRPr="00D41481">
        <w:rPr>
          <w:sz w:val="22"/>
          <w:szCs w:val="22"/>
        </w:rPr>
        <w:t>, 24-hour average.</w:t>
      </w:r>
    </w:p>
    <w:p w14:paraId="656482CF" w14:textId="77777777" w:rsidR="00BB3F3E" w:rsidRPr="00D41481" w:rsidRDefault="00BB3F3E" w:rsidP="00686D43">
      <w:pPr>
        <w:pStyle w:val="BodyText"/>
        <w:spacing w:after="0"/>
        <w:rPr>
          <w:sz w:val="22"/>
          <w:szCs w:val="22"/>
        </w:rPr>
      </w:pPr>
      <w:r w:rsidRPr="00D41481">
        <w:rPr>
          <w:sz w:val="22"/>
          <w:szCs w:val="22"/>
        </w:rPr>
        <w:t xml:space="preserve">If the potential emission exceeds the defined significant emissions rate of a PSD pollutant, the project is considered “significant” for the pollutant and the applicant must employ the Best Available Control Technology (BACT) to minimize the emissions and evaluate the air quality impacts.  Although a facility or project may be </w:t>
      </w:r>
      <w:r w:rsidRPr="00D41481">
        <w:rPr>
          <w:i/>
          <w:sz w:val="22"/>
          <w:szCs w:val="22"/>
        </w:rPr>
        <w:t>major</w:t>
      </w:r>
      <w:r w:rsidRPr="00D41481">
        <w:rPr>
          <w:sz w:val="22"/>
          <w:szCs w:val="22"/>
        </w:rPr>
        <w:t xml:space="preserve"> with respect to PSD for only one regulated pollutant, it may be required to install BACT controls for several “significant” regulated pollutants.</w:t>
      </w:r>
    </w:p>
    <w:p w14:paraId="1CC61725" w14:textId="77777777" w:rsidR="00686D43" w:rsidRDefault="00686D43" w:rsidP="00686D43">
      <w:pPr>
        <w:pStyle w:val="BodyText"/>
        <w:ind w:left="360" w:hanging="360"/>
        <w:jc w:val="both"/>
        <w:rPr>
          <w:b/>
          <w:sz w:val="22"/>
          <w:szCs w:val="22"/>
        </w:rPr>
      </w:pPr>
    </w:p>
    <w:p w14:paraId="3449A6A7" w14:textId="332265E8" w:rsidR="00193F10" w:rsidRPr="00D41481" w:rsidRDefault="00E5288F">
      <w:pPr>
        <w:pStyle w:val="BodyText"/>
        <w:ind w:left="360" w:hanging="360"/>
        <w:jc w:val="both"/>
        <w:rPr>
          <w:b/>
          <w:sz w:val="22"/>
          <w:szCs w:val="22"/>
        </w:rPr>
      </w:pPr>
      <w:r>
        <w:rPr>
          <w:b/>
          <w:sz w:val="22"/>
          <w:szCs w:val="22"/>
        </w:rPr>
        <w:t>3.2</w:t>
      </w:r>
      <w:r>
        <w:rPr>
          <w:b/>
          <w:sz w:val="22"/>
          <w:szCs w:val="22"/>
        </w:rPr>
        <w:tab/>
      </w:r>
      <w:r w:rsidR="00193F10" w:rsidRPr="00D41481">
        <w:rPr>
          <w:b/>
          <w:sz w:val="22"/>
          <w:szCs w:val="22"/>
        </w:rPr>
        <w:t>PSD Applicability for Project</w:t>
      </w:r>
    </w:p>
    <w:p w14:paraId="2EEF3D60" w14:textId="288B8644" w:rsidR="00AA474D" w:rsidRPr="00AA474D" w:rsidRDefault="00AA474D" w:rsidP="00AA474D">
      <w:pPr>
        <w:pStyle w:val="BodyText"/>
        <w:rPr>
          <w:color w:val="000000"/>
          <w:sz w:val="22"/>
          <w:szCs w:val="22"/>
        </w:rPr>
      </w:pPr>
      <w:r w:rsidRPr="00AA474D">
        <w:rPr>
          <w:color w:val="000000"/>
          <w:sz w:val="22"/>
          <w:szCs w:val="22"/>
        </w:rPr>
        <w:t>The Hampton facility received Construction Permit No. 0070004</w:t>
      </w:r>
      <w:r w:rsidRPr="00AA474D">
        <w:rPr>
          <w:rFonts w:ascii="Cambria Math" w:hAnsi="Cambria Math" w:cs="Cambria Math"/>
          <w:color w:val="000000"/>
          <w:sz w:val="22"/>
          <w:szCs w:val="22"/>
        </w:rPr>
        <w:t>‐</w:t>
      </w:r>
      <w:r w:rsidRPr="00AA474D">
        <w:rPr>
          <w:color w:val="000000"/>
          <w:sz w:val="22"/>
          <w:szCs w:val="22"/>
        </w:rPr>
        <w:t>015</w:t>
      </w:r>
      <w:r w:rsidRPr="00AA474D">
        <w:rPr>
          <w:rFonts w:ascii="Cambria Math" w:hAnsi="Cambria Math" w:cs="Cambria Math"/>
          <w:color w:val="000000"/>
          <w:sz w:val="22"/>
          <w:szCs w:val="22"/>
        </w:rPr>
        <w:t>‐</w:t>
      </w:r>
      <w:r w:rsidRPr="00AA474D">
        <w:rPr>
          <w:color w:val="000000"/>
          <w:sz w:val="22"/>
          <w:szCs w:val="22"/>
        </w:rPr>
        <w:t>AC for construction of</w:t>
      </w:r>
      <w:r>
        <w:rPr>
          <w:color w:val="000000"/>
          <w:sz w:val="22"/>
          <w:szCs w:val="22"/>
        </w:rPr>
        <w:t xml:space="preserve"> </w:t>
      </w:r>
      <w:r w:rsidRPr="00AA474D">
        <w:rPr>
          <w:color w:val="000000"/>
          <w:sz w:val="22"/>
          <w:szCs w:val="22"/>
        </w:rPr>
        <w:t xml:space="preserve">the secondary protein nutrient (SPN) fines solvent extraction process (EU 016) </w:t>
      </w:r>
      <w:r w:rsidR="00DA13DB">
        <w:rPr>
          <w:color w:val="000000"/>
          <w:sz w:val="22"/>
          <w:szCs w:val="22"/>
        </w:rPr>
        <w:t xml:space="preserve">and steam generating unit No. 4 (EU 017) </w:t>
      </w:r>
      <w:r w:rsidRPr="00AA474D">
        <w:rPr>
          <w:color w:val="000000"/>
          <w:sz w:val="22"/>
          <w:szCs w:val="22"/>
        </w:rPr>
        <w:t>on June 14,</w:t>
      </w:r>
      <w:r>
        <w:rPr>
          <w:color w:val="000000"/>
          <w:sz w:val="22"/>
          <w:szCs w:val="22"/>
        </w:rPr>
        <w:t xml:space="preserve"> </w:t>
      </w:r>
      <w:r w:rsidRPr="00AA474D">
        <w:rPr>
          <w:color w:val="000000"/>
          <w:sz w:val="22"/>
          <w:szCs w:val="22"/>
        </w:rPr>
        <w:t xml:space="preserve">2010. </w:t>
      </w:r>
    </w:p>
    <w:p w14:paraId="749A9630" w14:textId="4524D67B" w:rsidR="00AA474D" w:rsidRPr="00AA474D" w:rsidRDefault="00AA474D" w:rsidP="00AA474D">
      <w:pPr>
        <w:pStyle w:val="BodyText"/>
        <w:rPr>
          <w:color w:val="000000"/>
          <w:sz w:val="22"/>
          <w:szCs w:val="22"/>
        </w:rPr>
      </w:pPr>
      <w:r w:rsidRPr="00AA474D">
        <w:rPr>
          <w:color w:val="000000"/>
          <w:sz w:val="22"/>
          <w:szCs w:val="22"/>
        </w:rPr>
        <w:t>At the</w:t>
      </w:r>
      <w:r>
        <w:rPr>
          <w:color w:val="000000"/>
          <w:sz w:val="22"/>
          <w:szCs w:val="22"/>
        </w:rPr>
        <w:t xml:space="preserve"> </w:t>
      </w:r>
      <w:r w:rsidRPr="00AA474D">
        <w:rPr>
          <w:color w:val="000000"/>
          <w:sz w:val="22"/>
          <w:szCs w:val="22"/>
        </w:rPr>
        <w:t>time of the construction permit application submittal, there was no identified operations in</w:t>
      </w:r>
      <w:r w:rsidR="00622A8D">
        <w:rPr>
          <w:color w:val="000000"/>
          <w:sz w:val="22"/>
          <w:szCs w:val="22"/>
        </w:rPr>
        <w:t xml:space="preserve"> </w:t>
      </w:r>
      <w:r w:rsidRPr="00AA474D">
        <w:rPr>
          <w:color w:val="000000"/>
          <w:sz w:val="22"/>
          <w:szCs w:val="22"/>
        </w:rPr>
        <w:t>existence in the United States to use this process to extract oil from the SPN fines. Griffin</w:t>
      </w:r>
      <w:r>
        <w:rPr>
          <w:color w:val="000000"/>
          <w:sz w:val="22"/>
          <w:szCs w:val="22"/>
        </w:rPr>
        <w:t xml:space="preserve"> </w:t>
      </w:r>
      <w:r w:rsidRPr="00AA474D">
        <w:rPr>
          <w:color w:val="000000"/>
          <w:sz w:val="22"/>
          <w:szCs w:val="22"/>
        </w:rPr>
        <w:t>believed the solvent extraction process would be fundamentally similar to the existing</w:t>
      </w:r>
      <w:r>
        <w:rPr>
          <w:color w:val="000000"/>
          <w:sz w:val="22"/>
          <w:szCs w:val="22"/>
        </w:rPr>
        <w:t xml:space="preserve"> </w:t>
      </w:r>
      <w:r w:rsidRPr="00AA474D">
        <w:rPr>
          <w:color w:val="000000"/>
          <w:sz w:val="22"/>
          <w:szCs w:val="22"/>
        </w:rPr>
        <w:t>vegetable oilseed extraction process for the following reasons: 1) the process would utilize</w:t>
      </w:r>
      <w:r>
        <w:rPr>
          <w:color w:val="000000"/>
          <w:sz w:val="22"/>
          <w:szCs w:val="22"/>
        </w:rPr>
        <w:t xml:space="preserve"> </w:t>
      </w:r>
      <w:r w:rsidRPr="00AA474D">
        <w:rPr>
          <w:color w:val="000000"/>
          <w:sz w:val="22"/>
          <w:szCs w:val="22"/>
        </w:rPr>
        <w:t>the identical solvent as in the vegetable oilseed extraction process, a traditional industry</w:t>
      </w:r>
      <w:r>
        <w:rPr>
          <w:color w:val="000000"/>
          <w:sz w:val="22"/>
          <w:szCs w:val="22"/>
        </w:rPr>
        <w:t xml:space="preserve"> </w:t>
      </w:r>
      <w:r w:rsidRPr="00AA474D">
        <w:rPr>
          <w:color w:val="000000"/>
          <w:sz w:val="22"/>
          <w:szCs w:val="22"/>
        </w:rPr>
        <w:t>standard solvent comprising n</w:t>
      </w:r>
      <w:r w:rsidRPr="00AA474D">
        <w:rPr>
          <w:rFonts w:ascii="Cambria Math" w:hAnsi="Cambria Math" w:cs="Cambria Math"/>
          <w:color w:val="000000"/>
          <w:sz w:val="22"/>
          <w:szCs w:val="22"/>
        </w:rPr>
        <w:t>‐</w:t>
      </w:r>
      <w:r w:rsidRPr="00AA474D">
        <w:rPr>
          <w:color w:val="000000"/>
          <w:sz w:val="22"/>
          <w:szCs w:val="22"/>
        </w:rPr>
        <w:t>hexane (64%) and hexane isomers (36%); 2) the process</w:t>
      </w:r>
      <w:r>
        <w:rPr>
          <w:color w:val="000000"/>
          <w:sz w:val="22"/>
          <w:szCs w:val="22"/>
        </w:rPr>
        <w:t xml:space="preserve"> </w:t>
      </w:r>
      <w:r w:rsidRPr="00AA474D">
        <w:rPr>
          <w:color w:val="000000"/>
          <w:sz w:val="22"/>
          <w:szCs w:val="22"/>
        </w:rPr>
        <w:t>would consist of similar process stages (extraction, centrifuge, separation, distillation, and</w:t>
      </w:r>
      <w:r>
        <w:rPr>
          <w:color w:val="000000"/>
          <w:sz w:val="22"/>
          <w:szCs w:val="22"/>
        </w:rPr>
        <w:t xml:space="preserve"> </w:t>
      </w:r>
      <w:r w:rsidRPr="00AA474D">
        <w:rPr>
          <w:color w:val="000000"/>
          <w:sz w:val="22"/>
          <w:szCs w:val="22"/>
        </w:rPr>
        <w:t>condensation), and 3) the process would have similar control system equipment (solvent</w:t>
      </w:r>
      <w:r>
        <w:rPr>
          <w:color w:val="000000"/>
          <w:sz w:val="22"/>
          <w:szCs w:val="22"/>
        </w:rPr>
        <w:t xml:space="preserve"> </w:t>
      </w:r>
      <w:r w:rsidRPr="00AA474D">
        <w:rPr>
          <w:color w:val="000000"/>
          <w:sz w:val="22"/>
          <w:szCs w:val="22"/>
        </w:rPr>
        <w:t>recovery system and mineral oil scrubbing).</w:t>
      </w:r>
    </w:p>
    <w:p w14:paraId="53690D68" w14:textId="4322517B" w:rsidR="00AA474D" w:rsidRDefault="00AA474D" w:rsidP="00AA474D">
      <w:pPr>
        <w:pStyle w:val="BodyText"/>
        <w:rPr>
          <w:color w:val="000000"/>
          <w:sz w:val="22"/>
          <w:szCs w:val="22"/>
        </w:rPr>
      </w:pPr>
      <w:r w:rsidRPr="00AA474D">
        <w:rPr>
          <w:color w:val="000000"/>
          <w:sz w:val="22"/>
          <w:szCs w:val="22"/>
        </w:rPr>
        <w:t xml:space="preserve">Potential HAP and VOC emissions from the </w:t>
      </w:r>
      <w:r w:rsidR="00E95E05">
        <w:rPr>
          <w:color w:val="000000"/>
          <w:sz w:val="22"/>
          <w:szCs w:val="22"/>
        </w:rPr>
        <w:t xml:space="preserve">SPN Fines extraction </w:t>
      </w:r>
      <w:r w:rsidRPr="00AA474D">
        <w:rPr>
          <w:color w:val="000000"/>
          <w:sz w:val="22"/>
          <w:szCs w:val="22"/>
        </w:rPr>
        <w:t>process were estimated to be 95.79 and 149.67</w:t>
      </w:r>
      <w:r>
        <w:rPr>
          <w:color w:val="000000"/>
          <w:sz w:val="22"/>
          <w:szCs w:val="22"/>
        </w:rPr>
        <w:t xml:space="preserve"> </w:t>
      </w:r>
      <w:r w:rsidRPr="00AA474D">
        <w:rPr>
          <w:color w:val="000000"/>
          <w:sz w:val="22"/>
          <w:szCs w:val="22"/>
        </w:rPr>
        <w:t>tons per year,</w:t>
      </w:r>
      <w:r>
        <w:rPr>
          <w:color w:val="000000"/>
          <w:sz w:val="22"/>
          <w:szCs w:val="22"/>
        </w:rPr>
        <w:t xml:space="preserve"> r</w:t>
      </w:r>
      <w:r w:rsidRPr="00AA474D">
        <w:rPr>
          <w:color w:val="000000"/>
          <w:sz w:val="22"/>
          <w:szCs w:val="22"/>
        </w:rPr>
        <w:t>espectively, based on solvent losses associated with the vegetable oilseed</w:t>
      </w:r>
      <w:r>
        <w:rPr>
          <w:color w:val="000000"/>
          <w:sz w:val="22"/>
          <w:szCs w:val="22"/>
        </w:rPr>
        <w:t xml:space="preserve"> </w:t>
      </w:r>
      <w:r w:rsidRPr="00AA474D">
        <w:rPr>
          <w:color w:val="000000"/>
          <w:sz w:val="22"/>
          <w:szCs w:val="22"/>
        </w:rPr>
        <w:t>extraction process (a solvent loss factor of 1.5 gallon per ton of SPN fines processed, which</w:t>
      </w:r>
      <w:r>
        <w:rPr>
          <w:color w:val="000000"/>
          <w:sz w:val="22"/>
          <w:szCs w:val="22"/>
        </w:rPr>
        <w:t xml:space="preserve"> </w:t>
      </w:r>
      <w:r w:rsidRPr="00AA474D">
        <w:rPr>
          <w:color w:val="000000"/>
          <w:sz w:val="22"/>
          <w:szCs w:val="22"/>
        </w:rPr>
        <w:t xml:space="preserve">was the same as the new source MACT floor solvent loss factor for vegetable oil production </w:t>
      </w:r>
      <w:r w:rsidRPr="00AA474D">
        <w:rPr>
          <w:rFonts w:ascii="Cambria Math" w:hAnsi="Cambria Math" w:cs="Cambria Math"/>
          <w:color w:val="000000"/>
          <w:sz w:val="22"/>
          <w:szCs w:val="22"/>
        </w:rPr>
        <w:t>‐</w:t>
      </w:r>
      <w:r>
        <w:rPr>
          <w:rFonts w:ascii="Cambria Math" w:hAnsi="Cambria Math" w:cs="Cambria Math"/>
          <w:color w:val="000000"/>
          <w:sz w:val="22"/>
          <w:szCs w:val="22"/>
        </w:rPr>
        <w:t xml:space="preserve"> </w:t>
      </w:r>
      <w:r w:rsidRPr="00AA474D">
        <w:rPr>
          <w:color w:val="000000"/>
          <w:sz w:val="22"/>
          <w:szCs w:val="22"/>
        </w:rPr>
        <w:t>soybean specialty subcategory), and use of the normal HAP solvent, i.e. the industry</w:t>
      </w:r>
      <w:r>
        <w:rPr>
          <w:color w:val="000000"/>
          <w:sz w:val="22"/>
          <w:szCs w:val="22"/>
        </w:rPr>
        <w:t xml:space="preserve"> </w:t>
      </w:r>
      <w:r w:rsidRPr="00AA474D">
        <w:rPr>
          <w:color w:val="000000"/>
          <w:sz w:val="22"/>
          <w:szCs w:val="22"/>
        </w:rPr>
        <w:t>standard solvent comprising 64% n</w:t>
      </w:r>
      <w:r w:rsidRPr="00AA474D">
        <w:rPr>
          <w:rFonts w:ascii="Cambria Math" w:hAnsi="Cambria Math" w:cs="Cambria Math"/>
          <w:color w:val="000000"/>
          <w:sz w:val="22"/>
          <w:szCs w:val="22"/>
        </w:rPr>
        <w:t>‐</w:t>
      </w:r>
      <w:r w:rsidRPr="00AA474D">
        <w:rPr>
          <w:color w:val="000000"/>
          <w:sz w:val="22"/>
          <w:szCs w:val="22"/>
        </w:rPr>
        <w:t>hexane (HAP) and 36% hexane isomers (is</w:t>
      </w:r>
      <w:r w:rsidRPr="00AA474D">
        <w:rPr>
          <w:rFonts w:ascii="Cambria Math" w:hAnsi="Cambria Math" w:cs="Cambria Math"/>
          <w:color w:val="000000"/>
          <w:sz w:val="22"/>
          <w:szCs w:val="22"/>
        </w:rPr>
        <w:t>‐</w:t>
      </w:r>
      <w:r w:rsidRPr="00AA474D">
        <w:rPr>
          <w:color w:val="000000"/>
          <w:sz w:val="22"/>
          <w:szCs w:val="22"/>
        </w:rPr>
        <w:t>hexane,</w:t>
      </w:r>
      <w:r>
        <w:rPr>
          <w:color w:val="000000"/>
          <w:sz w:val="22"/>
          <w:szCs w:val="22"/>
        </w:rPr>
        <w:t xml:space="preserve"> </w:t>
      </w:r>
      <w:r w:rsidRPr="00AA474D">
        <w:rPr>
          <w:color w:val="000000"/>
          <w:sz w:val="22"/>
          <w:szCs w:val="22"/>
        </w:rPr>
        <w:t>non</w:t>
      </w:r>
      <w:r w:rsidRPr="00AA474D">
        <w:rPr>
          <w:rFonts w:ascii="Cambria Math" w:hAnsi="Cambria Math" w:cs="Cambria Math"/>
          <w:color w:val="000000"/>
          <w:sz w:val="22"/>
          <w:szCs w:val="22"/>
        </w:rPr>
        <w:t>‐</w:t>
      </w:r>
      <w:r w:rsidRPr="00AA474D">
        <w:rPr>
          <w:color w:val="000000"/>
          <w:sz w:val="22"/>
          <w:szCs w:val="22"/>
        </w:rPr>
        <w:t>HAP).</w:t>
      </w:r>
    </w:p>
    <w:p w14:paraId="53010571" w14:textId="58B8F5B3" w:rsidR="00E95E05" w:rsidRDefault="00E95E05" w:rsidP="00AA474D">
      <w:pPr>
        <w:pStyle w:val="BodyText"/>
        <w:rPr>
          <w:color w:val="000000"/>
          <w:sz w:val="22"/>
          <w:szCs w:val="22"/>
        </w:rPr>
      </w:pPr>
      <w:r>
        <w:rPr>
          <w:color w:val="000000"/>
          <w:sz w:val="22"/>
          <w:szCs w:val="22"/>
        </w:rPr>
        <w:t xml:space="preserve">Potential emissions that were estimated for the SPN Fines Extraction Process </w:t>
      </w:r>
      <w:r w:rsidR="00157B5D">
        <w:rPr>
          <w:color w:val="000000"/>
          <w:sz w:val="22"/>
          <w:szCs w:val="22"/>
        </w:rPr>
        <w:t xml:space="preserve">during project 0070004-015-AC </w:t>
      </w:r>
      <w:r>
        <w:rPr>
          <w:color w:val="000000"/>
          <w:sz w:val="22"/>
          <w:szCs w:val="22"/>
        </w:rPr>
        <w:t>are restated below</w:t>
      </w:r>
      <w:r w:rsidR="000B1252">
        <w:rPr>
          <w:color w:val="000000"/>
          <w:sz w:val="22"/>
          <w:szCs w:val="22"/>
        </w:rPr>
        <w:t xml:space="preserve">, </w:t>
      </w:r>
      <w:r w:rsidR="000B1252" w:rsidRPr="000B1252">
        <w:rPr>
          <w:b/>
          <w:color w:val="000000"/>
          <w:sz w:val="22"/>
          <w:szCs w:val="22"/>
        </w:rPr>
        <w:t>Table A</w:t>
      </w:r>
      <w:r>
        <w:rPr>
          <w:color w:val="000000"/>
          <w:sz w:val="22"/>
          <w:szCs w:val="22"/>
        </w:rPr>
        <w:t>:</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40"/>
        <w:gridCol w:w="2250"/>
        <w:gridCol w:w="1980"/>
      </w:tblGrid>
      <w:tr w:rsidR="00E95E05" w:rsidRPr="00413841" w14:paraId="61F3BFD4" w14:textId="77777777" w:rsidTr="00E95E05">
        <w:tc>
          <w:tcPr>
            <w:tcW w:w="3240" w:type="dxa"/>
          </w:tcPr>
          <w:p w14:paraId="208B52B6" w14:textId="77777777" w:rsidR="00E95E05" w:rsidRPr="00413841" w:rsidRDefault="00E95E05" w:rsidP="00B744FF">
            <w:pPr>
              <w:autoSpaceDE w:val="0"/>
              <w:autoSpaceDN w:val="0"/>
              <w:adjustRightInd w:val="0"/>
              <w:spacing w:after="120"/>
              <w:rPr>
                <w:b/>
              </w:rPr>
            </w:pPr>
            <w:r w:rsidRPr="00413841">
              <w:rPr>
                <w:b/>
              </w:rPr>
              <w:t>Source</w:t>
            </w:r>
          </w:p>
        </w:tc>
        <w:tc>
          <w:tcPr>
            <w:tcW w:w="2250" w:type="dxa"/>
          </w:tcPr>
          <w:p w14:paraId="1BF0E6D0" w14:textId="77777777" w:rsidR="00E95E05" w:rsidRPr="00413841" w:rsidRDefault="00E95E05" w:rsidP="00B744FF">
            <w:pPr>
              <w:autoSpaceDE w:val="0"/>
              <w:autoSpaceDN w:val="0"/>
              <w:adjustRightInd w:val="0"/>
              <w:spacing w:after="120"/>
              <w:rPr>
                <w:b/>
              </w:rPr>
            </w:pPr>
            <w:r w:rsidRPr="00413841">
              <w:rPr>
                <w:b/>
              </w:rPr>
              <w:t>n – Hexane (ton/year)</w:t>
            </w:r>
          </w:p>
        </w:tc>
        <w:tc>
          <w:tcPr>
            <w:tcW w:w="1980" w:type="dxa"/>
          </w:tcPr>
          <w:p w14:paraId="03D3731D" w14:textId="77777777" w:rsidR="00E95E05" w:rsidRPr="00413841" w:rsidRDefault="00E95E05" w:rsidP="00B744FF">
            <w:pPr>
              <w:autoSpaceDE w:val="0"/>
              <w:autoSpaceDN w:val="0"/>
              <w:adjustRightInd w:val="0"/>
              <w:spacing w:after="120"/>
              <w:rPr>
                <w:b/>
              </w:rPr>
            </w:pPr>
            <w:r w:rsidRPr="00413841">
              <w:rPr>
                <w:b/>
              </w:rPr>
              <w:t>VOC (ton/year)</w:t>
            </w:r>
          </w:p>
        </w:tc>
      </w:tr>
      <w:tr w:rsidR="00E95E05" w:rsidRPr="00413841" w14:paraId="3B526AAF" w14:textId="77777777" w:rsidTr="00E95E05">
        <w:tc>
          <w:tcPr>
            <w:tcW w:w="3240" w:type="dxa"/>
          </w:tcPr>
          <w:p w14:paraId="5F130CDE" w14:textId="77777777" w:rsidR="00E95E05" w:rsidRPr="00413841" w:rsidRDefault="00E95E05" w:rsidP="00DC5A81">
            <w:pPr>
              <w:autoSpaceDE w:val="0"/>
              <w:autoSpaceDN w:val="0"/>
              <w:adjustRightInd w:val="0"/>
            </w:pPr>
            <w:r w:rsidRPr="00413841">
              <w:t>Solvent remain in oil product</w:t>
            </w:r>
          </w:p>
        </w:tc>
        <w:tc>
          <w:tcPr>
            <w:tcW w:w="2250" w:type="dxa"/>
          </w:tcPr>
          <w:p w14:paraId="78E18D37" w14:textId="77777777" w:rsidR="00E95E05" w:rsidRPr="00413841" w:rsidRDefault="00E95E05" w:rsidP="00DC5A81">
            <w:pPr>
              <w:autoSpaceDE w:val="0"/>
              <w:autoSpaceDN w:val="0"/>
              <w:adjustRightInd w:val="0"/>
            </w:pPr>
            <w:r w:rsidRPr="00413841">
              <w:t>2.67</w:t>
            </w:r>
          </w:p>
        </w:tc>
        <w:tc>
          <w:tcPr>
            <w:tcW w:w="1980" w:type="dxa"/>
          </w:tcPr>
          <w:p w14:paraId="7FF37EBF" w14:textId="77777777" w:rsidR="00E95E05" w:rsidRPr="00413841" w:rsidRDefault="00E95E05" w:rsidP="00DC5A81">
            <w:pPr>
              <w:autoSpaceDE w:val="0"/>
              <w:autoSpaceDN w:val="0"/>
              <w:adjustRightInd w:val="0"/>
            </w:pPr>
            <w:r w:rsidRPr="00413841">
              <w:t>4.17</w:t>
            </w:r>
          </w:p>
        </w:tc>
      </w:tr>
      <w:tr w:rsidR="00E95E05" w:rsidRPr="00413841" w14:paraId="21DE8546" w14:textId="77777777" w:rsidTr="00E95E05">
        <w:tc>
          <w:tcPr>
            <w:tcW w:w="3240" w:type="dxa"/>
          </w:tcPr>
          <w:p w14:paraId="63D39ACE" w14:textId="77777777" w:rsidR="00E95E05" w:rsidRPr="00413841" w:rsidRDefault="00E95E05" w:rsidP="00DC5A81">
            <w:pPr>
              <w:autoSpaceDE w:val="0"/>
              <w:autoSpaceDN w:val="0"/>
              <w:adjustRightInd w:val="0"/>
            </w:pPr>
            <w:r w:rsidRPr="00413841">
              <w:t>Solvent remain in meal</w:t>
            </w:r>
          </w:p>
        </w:tc>
        <w:tc>
          <w:tcPr>
            <w:tcW w:w="2250" w:type="dxa"/>
          </w:tcPr>
          <w:p w14:paraId="47E6CBDE" w14:textId="77777777" w:rsidR="00E95E05" w:rsidRPr="00413841" w:rsidRDefault="00E95E05" w:rsidP="00DC5A81">
            <w:pPr>
              <w:autoSpaceDE w:val="0"/>
              <w:autoSpaceDN w:val="0"/>
              <w:adjustRightInd w:val="0"/>
            </w:pPr>
            <w:r w:rsidRPr="00413841">
              <w:t>7.64</w:t>
            </w:r>
          </w:p>
        </w:tc>
        <w:tc>
          <w:tcPr>
            <w:tcW w:w="1980" w:type="dxa"/>
          </w:tcPr>
          <w:p w14:paraId="7C27E73A" w14:textId="77777777" w:rsidR="00E95E05" w:rsidRPr="00413841" w:rsidRDefault="00E95E05" w:rsidP="00DC5A81">
            <w:pPr>
              <w:autoSpaceDE w:val="0"/>
              <w:autoSpaceDN w:val="0"/>
              <w:adjustRightInd w:val="0"/>
            </w:pPr>
            <w:r w:rsidRPr="00413841">
              <w:t>11.93</w:t>
            </w:r>
          </w:p>
        </w:tc>
      </w:tr>
      <w:tr w:rsidR="00E95E05" w:rsidRPr="00413841" w14:paraId="20D58762" w14:textId="77777777" w:rsidTr="00E95E05">
        <w:tc>
          <w:tcPr>
            <w:tcW w:w="3240" w:type="dxa"/>
          </w:tcPr>
          <w:p w14:paraId="70AB82CD" w14:textId="77777777" w:rsidR="00E95E05" w:rsidRPr="00413841" w:rsidRDefault="00E95E05" w:rsidP="00DC5A81">
            <w:pPr>
              <w:autoSpaceDE w:val="0"/>
              <w:autoSpaceDN w:val="0"/>
              <w:adjustRightInd w:val="0"/>
            </w:pPr>
            <w:r w:rsidRPr="00413841">
              <w:t>Solvent in wastewater stream</w:t>
            </w:r>
          </w:p>
        </w:tc>
        <w:tc>
          <w:tcPr>
            <w:tcW w:w="2250" w:type="dxa"/>
          </w:tcPr>
          <w:p w14:paraId="7EC5F166" w14:textId="77777777" w:rsidR="00E95E05" w:rsidRPr="00413841" w:rsidRDefault="00E95E05" w:rsidP="00DC5A81">
            <w:pPr>
              <w:autoSpaceDE w:val="0"/>
              <w:autoSpaceDN w:val="0"/>
              <w:adjustRightInd w:val="0"/>
            </w:pPr>
            <w:r w:rsidRPr="00413841">
              <w:t>0.03</w:t>
            </w:r>
          </w:p>
        </w:tc>
        <w:tc>
          <w:tcPr>
            <w:tcW w:w="1980" w:type="dxa"/>
          </w:tcPr>
          <w:p w14:paraId="0ACACADF" w14:textId="77777777" w:rsidR="00E95E05" w:rsidRPr="00413841" w:rsidRDefault="00E95E05" w:rsidP="00DC5A81">
            <w:pPr>
              <w:autoSpaceDE w:val="0"/>
              <w:autoSpaceDN w:val="0"/>
              <w:adjustRightInd w:val="0"/>
            </w:pPr>
            <w:r w:rsidRPr="00413841">
              <w:t>0.05</w:t>
            </w:r>
          </w:p>
        </w:tc>
      </w:tr>
      <w:tr w:rsidR="00E95E05" w:rsidRPr="00413841" w14:paraId="3D41E5B2" w14:textId="77777777" w:rsidTr="00E95E05">
        <w:tc>
          <w:tcPr>
            <w:tcW w:w="3240" w:type="dxa"/>
          </w:tcPr>
          <w:p w14:paraId="3AB7812F" w14:textId="77777777" w:rsidR="00E95E05" w:rsidRPr="00413841" w:rsidRDefault="00E95E05" w:rsidP="00DC5A81">
            <w:pPr>
              <w:autoSpaceDE w:val="0"/>
              <w:autoSpaceDN w:val="0"/>
              <w:adjustRightInd w:val="0"/>
            </w:pPr>
            <w:r w:rsidRPr="00413841">
              <w:t>Mineral oil absorption system</w:t>
            </w:r>
          </w:p>
        </w:tc>
        <w:tc>
          <w:tcPr>
            <w:tcW w:w="2250" w:type="dxa"/>
          </w:tcPr>
          <w:p w14:paraId="2CE3C5F6" w14:textId="77777777" w:rsidR="00E95E05" w:rsidRPr="00413841" w:rsidRDefault="00E95E05" w:rsidP="00DC5A81">
            <w:pPr>
              <w:autoSpaceDE w:val="0"/>
              <w:autoSpaceDN w:val="0"/>
              <w:adjustRightInd w:val="0"/>
            </w:pPr>
            <w:r w:rsidRPr="00413841">
              <w:t>8.76</w:t>
            </w:r>
          </w:p>
        </w:tc>
        <w:tc>
          <w:tcPr>
            <w:tcW w:w="1980" w:type="dxa"/>
          </w:tcPr>
          <w:p w14:paraId="392E38B2" w14:textId="77777777" w:rsidR="00E95E05" w:rsidRPr="00413841" w:rsidRDefault="00E95E05" w:rsidP="00DC5A81">
            <w:pPr>
              <w:autoSpaceDE w:val="0"/>
              <w:autoSpaceDN w:val="0"/>
              <w:adjustRightInd w:val="0"/>
            </w:pPr>
            <w:r w:rsidRPr="00413841">
              <w:t>13.69</w:t>
            </w:r>
          </w:p>
        </w:tc>
      </w:tr>
      <w:tr w:rsidR="00E95E05" w:rsidRPr="00413841" w14:paraId="4891A070" w14:textId="77777777" w:rsidTr="00E95E05">
        <w:tc>
          <w:tcPr>
            <w:tcW w:w="3240" w:type="dxa"/>
          </w:tcPr>
          <w:p w14:paraId="2415C01F" w14:textId="77777777" w:rsidR="00E95E05" w:rsidRPr="00413841" w:rsidRDefault="00E95E05" w:rsidP="00DC5A81">
            <w:pPr>
              <w:autoSpaceDE w:val="0"/>
              <w:autoSpaceDN w:val="0"/>
              <w:adjustRightInd w:val="0"/>
            </w:pPr>
            <w:r w:rsidRPr="00413841">
              <w:t>Storage Transfer losses</w:t>
            </w:r>
          </w:p>
        </w:tc>
        <w:tc>
          <w:tcPr>
            <w:tcW w:w="2250" w:type="dxa"/>
          </w:tcPr>
          <w:p w14:paraId="717832A9" w14:textId="77777777" w:rsidR="00E95E05" w:rsidRPr="00413841" w:rsidRDefault="00E95E05" w:rsidP="00DC5A81">
            <w:pPr>
              <w:autoSpaceDE w:val="0"/>
              <w:autoSpaceDN w:val="0"/>
              <w:adjustRightInd w:val="0"/>
            </w:pPr>
            <w:r w:rsidRPr="00413841">
              <w:t>0.18</w:t>
            </w:r>
          </w:p>
        </w:tc>
        <w:tc>
          <w:tcPr>
            <w:tcW w:w="1980" w:type="dxa"/>
          </w:tcPr>
          <w:p w14:paraId="2B3C6F96" w14:textId="77777777" w:rsidR="00E95E05" w:rsidRPr="00413841" w:rsidRDefault="00E95E05" w:rsidP="00DC5A81">
            <w:pPr>
              <w:autoSpaceDE w:val="0"/>
              <w:autoSpaceDN w:val="0"/>
              <w:adjustRightInd w:val="0"/>
            </w:pPr>
            <w:r w:rsidRPr="00413841">
              <w:t>0.27</w:t>
            </w:r>
          </w:p>
        </w:tc>
      </w:tr>
      <w:tr w:rsidR="00E95E05" w:rsidRPr="00413841" w14:paraId="24E3B826" w14:textId="77777777" w:rsidTr="00E95E05">
        <w:tc>
          <w:tcPr>
            <w:tcW w:w="3240" w:type="dxa"/>
          </w:tcPr>
          <w:p w14:paraId="15C4C574" w14:textId="77777777" w:rsidR="00E95E05" w:rsidRPr="00413841" w:rsidRDefault="00E95E05" w:rsidP="00DC5A81">
            <w:pPr>
              <w:autoSpaceDE w:val="0"/>
              <w:autoSpaceDN w:val="0"/>
              <w:adjustRightInd w:val="0"/>
            </w:pPr>
            <w:r w:rsidRPr="00413841">
              <w:t>Miscellaneous fugitive from equipment leak</w:t>
            </w:r>
          </w:p>
        </w:tc>
        <w:tc>
          <w:tcPr>
            <w:tcW w:w="2250" w:type="dxa"/>
          </w:tcPr>
          <w:p w14:paraId="38D7A1AC" w14:textId="77777777" w:rsidR="00E95E05" w:rsidRPr="00413841" w:rsidRDefault="00E95E05" w:rsidP="00DC5A81">
            <w:pPr>
              <w:autoSpaceDE w:val="0"/>
              <w:autoSpaceDN w:val="0"/>
              <w:adjustRightInd w:val="0"/>
            </w:pPr>
            <w:r w:rsidRPr="00413841">
              <w:t>76.52</w:t>
            </w:r>
          </w:p>
        </w:tc>
        <w:tc>
          <w:tcPr>
            <w:tcW w:w="1980" w:type="dxa"/>
          </w:tcPr>
          <w:p w14:paraId="4362159B" w14:textId="77777777" w:rsidR="00E95E05" w:rsidRPr="00413841" w:rsidRDefault="00E95E05" w:rsidP="00DC5A81">
            <w:pPr>
              <w:autoSpaceDE w:val="0"/>
              <w:autoSpaceDN w:val="0"/>
              <w:adjustRightInd w:val="0"/>
            </w:pPr>
            <w:r w:rsidRPr="00413841">
              <w:t>119.56</w:t>
            </w:r>
          </w:p>
        </w:tc>
      </w:tr>
      <w:tr w:rsidR="00E95E05" w:rsidRPr="00413841" w14:paraId="2CFF237C" w14:textId="77777777" w:rsidTr="00E95E05">
        <w:tc>
          <w:tcPr>
            <w:tcW w:w="3240" w:type="dxa"/>
          </w:tcPr>
          <w:p w14:paraId="4F1C3F4E" w14:textId="77777777" w:rsidR="00E95E05" w:rsidRPr="00413841" w:rsidRDefault="00E95E05" w:rsidP="00DC5A81">
            <w:pPr>
              <w:autoSpaceDE w:val="0"/>
              <w:autoSpaceDN w:val="0"/>
              <w:adjustRightInd w:val="0"/>
              <w:rPr>
                <w:b/>
              </w:rPr>
            </w:pPr>
            <w:r w:rsidRPr="00413841">
              <w:rPr>
                <w:b/>
              </w:rPr>
              <w:t xml:space="preserve">                                                   Total</w:t>
            </w:r>
          </w:p>
        </w:tc>
        <w:tc>
          <w:tcPr>
            <w:tcW w:w="2250" w:type="dxa"/>
          </w:tcPr>
          <w:p w14:paraId="09B56157" w14:textId="77777777" w:rsidR="00E95E05" w:rsidRPr="00413841" w:rsidRDefault="00E95E05" w:rsidP="00DC5A81">
            <w:pPr>
              <w:autoSpaceDE w:val="0"/>
              <w:autoSpaceDN w:val="0"/>
              <w:adjustRightInd w:val="0"/>
              <w:rPr>
                <w:b/>
              </w:rPr>
            </w:pPr>
            <w:r w:rsidRPr="00413841">
              <w:rPr>
                <w:b/>
              </w:rPr>
              <w:t>95.79</w:t>
            </w:r>
          </w:p>
        </w:tc>
        <w:tc>
          <w:tcPr>
            <w:tcW w:w="1980" w:type="dxa"/>
          </w:tcPr>
          <w:p w14:paraId="0E63FD75" w14:textId="77777777" w:rsidR="00E95E05" w:rsidRPr="00413841" w:rsidRDefault="00E95E05" w:rsidP="00DC5A81">
            <w:pPr>
              <w:autoSpaceDE w:val="0"/>
              <w:autoSpaceDN w:val="0"/>
              <w:adjustRightInd w:val="0"/>
              <w:rPr>
                <w:b/>
              </w:rPr>
            </w:pPr>
            <w:r w:rsidRPr="00413841">
              <w:rPr>
                <w:b/>
              </w:rPr>
              <w:t>149.67</w:t>
            </w:r>
          </w:p>
        </w:tc>
      </w:tr>
    </w:tbl>
    <w:p w14:paraId="2D5B3EF7" w14:textId="77777777" w:rsidR="00E95E05" w:rsidRPr="00413841" w:rsidRDefault="00E95E05" w:rsidP="00AA474D">
      <w:pPr>
        <w:pStyle w:val="BodyText"/>
        <w:rPr>
          <w:color w:val="000000"/>
          <w:sz w:val="22"/>
          <w:szCs w:val="22"/>
        </w:rPr>
      </w:pPr>
    </w:p>
    <w:p w14:paraId="158EA71F" w14:textId="77777777" w:rsidR="00E95E05" w:rsidRDefault="00E95E05" w:rsidP="00E95E05">
      <w:pPr>
        <w:pStyle w:val="BodyText"/>
        <w:rPr>
          <w:color w:val="000000"/>
          <w:sz w:val="22"/>
          <w:szCs w:val="22"/>
        </w:rPr>
      </w:pPr>
      <w:r w:rsidRPr="00AA474D">
        <w:rPr>
          <w:color w:val="000000"/>
          <w:sz w:val="22"/>
          <w:szCs w:val="22"/>
        </w:rPr>
        <w:lastRenderedPageBreak/>
        <w:t xml:space="preserve">Because the SPN fines solvent extraction process </w:t>
      </w:r>
      <w:r>
        <w:rPr>
          <w:color w:val="000000"/>
          <w:sz w:val="22"/>
          <w:szCs w:val="22"/>
        </w:rPr>
        <w:t>is</w:t>
      </w:r>
      <w:r w:rsidRPr="00AA474D">
        <w:rPr>
          <w:color w:val="000000"/>
          <w:sz w:val="22"/>
          <w:szCs w:val="22"/>
        </w:rPr>
        <w:t xml:space="preserve"> a major source of HAP and the</w:t>
      </w:r>
      <w:r>
        <w:rPr>
          <w:color w:val="000000"/>
          <w:sz w:val="22"/>
          <w:szCs w:val="22"/>
        </w:rPr>
        <w:t xml:space="preserve"> </w:t>
      </w:r>
      <w:r w:rsidRPr="00AA474D">
        <w:rPr>
          <w:color w:val="000000"/>
          <w:sz w:val="22"/>
          <w:szCs w:val="22"/>
        </w:rPr>
        <w:t xml:space="preserve">particular raw material used </w:t>
      </w:r>
      <w:r>
        <w:rPr>
          <w:color w:val="000000"/>
          <w:sz w:val="22"/>
          <w:szCs w:val="22"/>
        </w:rPr>
        <w:t>is</w:t>
      </w:r>
      <w:r w:rsidRPr="00AA474D">
        <w:rPr>
          <w:color w:val="000000"/>
          <w:sz w:val="22"/>
          <w:szCs w:val="22"/>
        </w:rPr>
        <w:t xml:space="preserve"> not directly applicable to the similar specific category of</w:t>
      </w:r>
      <w:r>
        <w:rPr>
          <w:color w:val="000000"/>
          <w:sz w:val="22"/>
          <w:szCs w:val="22"/>
        </w:rPr>
        <w:t xml:space="preserve"> </w:t>
      </w:r>
      <w:r w:rsidRPr="00AA474D">
        <w:rPr>
          <w:color w:val="000000"/>
          <w:sz w:val="22"/>
          <w:szCs w:val="22"/>
        </w:rPr>
        <w:t>“Solvent Extraction for Vegetable Oil Production”, a Case</w:t>
      </w:r>
      <w:r w:rsidRPr="00AA474D">
        <w:rPr>
          <w:rFonts w:ascii="Cambria Math" w:hAnsi="Cambria Math" w:cs="Cambria Math"/>
          <w:color w:val="000000"/>
          <w:sz w:val="22"/>
          <w:szCs w:val="22"/>
        </w:rPr>
        <w:t>‐</w:t>
      </w:r>
      <w:r w:rsidRPr="00AA474D">
        <w:rPr>
          <w:color w:val="000000"/>
          <w:sz w:val="22"/>
          <w:szCs w:val="22"/>
        </w:rPr>
        <w:t>by</w:t>
      </w:r>
      <w:r w:rsidRPr="00AA474D">
        <w:rPr>
          <w:rFonts w:ascii="Cambria Math" w:hAnsi="Cambria Math" w:cs="Cambria Math"/>
          <w:color w:val="000000"/>
          <w:sz w:val="22"/>
          <w:szCs w:val="22"/>
        </w:rPr>
        <w:t>‐</w:t>
      </w:r>
      <w:r w:rsidRPr="00AA474D">
        <w:rPr>
          <w:color w:val="000000"/>
          <w:sz w:val="22"/>
          <w:szCs w:val="22"/>
        </w:rPr>
        <w:t>Case MACT Determination was</w:t>
      </w:r>
      <w:r>
        <w:rPr>
          <w:color w:val="000000"/>
          <w:sz w:val="22"/>
          <w:szCs w:val="22"/>
        </w:rPr>
        <w:t xml:space="preserve"> </w:t>
      </w:r>
      <w:r w:rsidRPr="00AA474D">
        <w:rPr>
          <w:color w:val="000000"/>
          <w:sz w:val="22"/>
          <w:szCs w:val="22"/>
        </w:rPr>
        <w:t>issued with Construction Permit No. 0070004</w:t>
      </w:r>
      <w:r w:rsidRPr="00AA474D">
        <w:rPr>
          <w:rFonts w:ascii="Cambria Math" w:hAnsi="Cambria Math" w:cs="Cambria Math"/>
          <w:color w:val="000000"/>
          <w:sz w:val="22"/>
          <w:szCs w:val="22"/>
        </w:rPr>
        <w:t>‐</w:t>
      </w:r>
      <w:r w:rsidRPr="00AA474D">
        <w:rPr>
          <w:color w:val="000000"/>
          <w:sz w:val="22"/>
          <w:szCs w:val="22"/>
        </w:rPr>
        <w:t>015</w:t>
      </w:r>
      <w:r w:rsidRPr="00AA474D">
        <w:rPr>
          <w:rFonts w:ascii="Cambria Math" w:hAnsi="Cambria Math" w:cs="Cambria Math"/>
          <w:color w:val="000000"/>
          <w:sz w:val="22"/>
          <w:szCs w:val="22"/>
        </w:rPr>
        <w:t>‐</w:t>
      </w:r>
      <w:r w:rsidRPr="00AA474D">
        <w:rPr>
          <w:color w:val="000000"/>
          <w:sz w:val="22"/>
          <w:szCs w:val="22"/>
        </w:rPr>
        <w:t>AC pursuant to the requirements of Section 112(g) of Clean</w:t>
      </w:r>
      <w:r>
        <w:rPr>
          <w:color w:val="000000"/>
          <w:sz w:val="22"/>
          <w:szCs w:val="22"/>
        </w:rPr>
        <w:t xml:space="preserve"> </w:t>
      </w:r>
      <w:r w:rsidRPr="00AA474D">
        <w:rPr>
          <w:color w:val="000000"/>
          <w:sz w:val="22"/>
          <w:szCs w:val="22"/>
        </w:rPr>
        <w:t>Air Act.</w:t>
      </w:r>
    </w:p>
    <w:p w14:paraId="24D1A93D" w14:textId="4AB6C4F2" w:rsidR="00E95E05" w:rsidRDefault="00E95E05" w:rsidP="00AA474D">
      <w:pPr>
        <w:pStyle w:val="BodyText"/>
        <w:rPr>
          <w:color w:val="000000"/>
          <w:sz w:val="22"/>
          <w:szCs w:val="22"/>
        </w:rPr>
      </w:pPr>
      <w:r>
        <w:rPr>
          <w:color w:val="000000"/>
          <w:sz w:val="22"/>
          <w:szCs w:val="22"/>
        </w:rPr>
        <w:t xml:space="preserve">Potential emissions that were estimated for the steam generating unit (EU 017) </w:t>
      </w:r>
      <w:r w:rsidR="00157B5D">
        <w:rPr>
          <w:color w:val="000000"/>
          <w:sz w:val="22"/>
          <w:szCs w:val="22"/>
        </w:rPr>
        <w:t xml:space="preserve">during project 0070004-015-AC </w:t>
      </w:r>
      <w:r>
        <w:rPr>
          <w:color w:val="000000"/>
          <w:sz w:val="22"/>
          <w:szCs w:val="22"/>
        </w:rPr>
        <w:t>are restated below</w:t>
      </w:r>
      <w:r w:rsidR="000B1252">
        <w:rPr>
          <w:color w:val="000000"/>
          <w:sz w:val="22"/>
          <w:szCs w:val="22"/>
        </w:rPr>
        <w:t xml:space="preserve">, </w:t>
      </w:r>
      <w:r w:rsidR="000B1252" w:rsidRPr="000B1252">
        <w:rPr>
          <w:b/>
          <w:color w:val="000000"/>
          <w:sz w:val="22"/>
          <w:szCs w:val="22"/>
        </w:rPr>
        <w:t>Table B</w:t>
      </w:r>
      <w:r>
        <w:rPr>
          <w:color w:val="000000"/>
          <w:sz w:val="22"/>
          <w:szCs w:val="22"/>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8"/>
        <w:gridCol w:w="2880"/>
      </w:tblGrid>
      <w:tr w:rsidR="00E95E05" w:rsidRPr="00882501" w14:paraId="7AA0C451" w14:textId="77777777" w:rsidTr="00DC5A81">
        <w:tc>
          <w:tcPr>
            <w:tcW w:w="1278" w:type="dxa"/>
          </w:tcPr>
          <w:p w14:paraId="4DD41F3A" w14:textId="77777777" w:rsidR="00E95E05" w:rsidRPr="00882501" w:rsidRDefault="00E95E05" w:rsidP="00ED6337">
            <w:pPr>
              <w:spacing w:after="120"/>
              <w:rPr>
                <w:b/>
              </w:rPr>
            </w:pPr>
            <w:r w:rsidRPr="00882501">
              <w:rPr>
                <w:b/>
              </w:rPr>
              <w:t>Pollutant</w:t>
            </w:r>
          </w:p>
        </w:tc>
        <w:tc>
          <w:tcPr>
            <w:tcW w:w="2880" w:type="dxa"/>
          </w:tcPr>
          <w:p w14:paraId="5DBEC537" w14:textId="77777777" w:rsidR="00E95E05" w:rsidRPr="00882501" w:rsidRDefault="00E95E05" w:rsidP="00ED6337">
            <w:pPr>
              <w:spacing w:after="120"/>
              <w:rPr>
                <w:b/>
              </w:rPr>
            </w:pPr>
            <w:r w:rsidRPr="00882501">
              <w:rPr>
                <w:b/>
              </w:rPr>
              <w:t>Emissions Rate (tons/year)</w:t>
            </w:r>
          </w:p>
        </w:tc>
      </w:tr>
      <w:tr w:rsidR="00E95E05" w:rsidRPr="00882501" w14:paraId="76B471FC" w14:textId="77777777" w:rsidTr="00DC5A81">
        <w:tc>
          <w:tcPr>
            <w:tcW w:w="1278" w:type="dxa"/>
          </w:tcPr>
          <w:p w14:paraId="04984281" w14:textId="77777777" w:rsidR="00E95E05" w:rsidRPr="00882501" w:rsidRDefault="00E95E05" w:rsidP="00DC5A81">
            <w:r w:rsidRPr="00882501">
              <w:t>PM</w:t>
            </w:r>
          </w:p>
        </w:tc>
        <w:tc>
          <w:tcPr>
            <w:tcW w:w="2880" w:type="dxa"/>
          </w:tcPr>
          <w:p w14:paraId="603BF1B4" w14:textId="77777777" w:rsidR="00E95E05" w:rsidRPr="00882501" w:rsidRDefault="00E95E05" w:rsidP="00DC5A81">
            <w:r w:rsidRPr="00882501">
              <w:t>9.2</w:t>
            </w:r>
          </w:p>
        </w:tc>
      </w:tr>
      <w:tr w:rsidR="00E95E05" w:rsidRPr="00882501" w14:paraId="352B54AE" w14:textId="77777777" w:rsidTr="00DC5A81">
        <w:tc>
          <w:tcPr>
            <w:tcW w:w="1278" w:type="dxa"/>
          </w:tcPr>
          <w:p w14:paraId="0385CA76" w14:textId="77777777" w:rsidR="00E95E05" w:rsidRPr="00882501" w:rsidRDefault="00E95E05" w:rsidP="00DC5A81">
            <w:r w:rsidRPr="00882501">
              <w:t>PM</w:t>
            </w:r>
            <w:r w:rsidRPr="00882501">
              <w:rPr>
                <w:sz w:val="16"/>
                <w:szCs w:val="16"/>
              </w:rPr>
              <w:t>10</w:t>
            </w:r>
          </w:p>
        </w:tc>
        <w:tc>
          <w:tcPr>
            <w:tcW w:w="2880" w:type="dxa"/>
          </w:tcPr>
          <w:p w14:paraId="3EB4B25C" w14:textId="77777777" w:rsidR="00E95E05" w:rsidRPr="00882501" w:rsidRDefault="00E95E05" w:rsidP="00DC5A81">
            <w:r w:rsidRPr="00882501">
              <w:t>7.1</w:t>
            </w:r>
          </w:p>
        </w:tc>
      </w:tr>
      <w:tr w:rsidR="00E95E05" w:rsidRPr="00882501" w14:paraId="4D1E19FB" w14:textId="77777777" w:rsidTr="00DC5A81">
        <w:tc>
          <w:tcPr>
            <w:tcW w:w="1278" w:type="dxa"/>
          </w:tcPr>
          <w:p w14:paraId="5A5C6835" w14:textId="77777777" w:rsidR="00E95E05" w:rsidRPr="00882501" w:rsidRDefault="00E95E05" w:rsidP="00DC5A81">
            <w:r w:rsidRPr="00882501">
              <w:t>SO</w:t>
            </w:r>
            <w:r w:rsidRPr="00882501">
              <w:rPr>
                <w:sz w:val="16"/>
                <w:szCs w:val="16"/>
              </w:rPr>
              <w:t>2</w:t>
            </w:r>
          </w:p>
        </w:tc>
        <w:tc>
          <w:tcPr>
            <w:tcW w:w="2880" w:type="dxa"/>
          </w:tcPr>
          <w:p w14:paraId="2616A0A8" w14:textId="77777777" w:rsidR="00E95E05" w:rsidRPr="00882501" w:rsidRDefault="00E95E05" w:rsidP="00DC5A81">
            <w:r w:rsidRPr="00882501">
              <w:t>22.0</w:t>
            </w:r>
          </w:p>
        </w:tc>
      </w:tr>
      <w:tr w:rsidR="00E95E05" w:rsidRPr="00882501" w14:paraId="2CA95315" w14:textId="77777777" w:rsidTr="00DC5A81">
        <w:tc>
          <w:tcPr>
            <w:tcW w:w="1278" w:type="dxa"/>
          </w:tcPr>
          <w:p w14:paraId="16D7A0EE" w14:textId="77777777" w:rsidR="00E95E05" w:rsidRPr="00882501" w:rsidRDefault="00E95E05" w:rsidP="00DC5A81">
            <w:r w:rsidRPr="00882501">
              <w:t>VOC</w:t>
            </w:r>
          </w:p>
        </w:tc>
        <w:tc>
          <w:tcPr>
            <w:tcW w:w="2880" w:type="dxa"/>
          </w:tcPr>
          <w:p w14:paraId="69458FC4" w14:textId="77777777" w:rsidR="00E95E05" w:rsidRPr="00882501" w:rsidRDefault="00E95E05" w:rsidP="00DC5A81">
            <w:r w:rsidRPr="00882501">
              <w:t>0.23</w:t>
            </w:r>
          </w:p>
        </w:tc>
      </w:tr>
      <w:tr w:rsidR="00E95E05" w:rsidRPr="00882501" w14:paraId="6743E99B" w14:textId="77777777" w:rsidTr="00DC5A81">
        <w:tc>
          <w:tcPr>
            <w:tcW w:w="1278" w:type="dxa"/>
          </w:tcPr>
          <w:p w14:paraId="76E51049" w14:textId="77777777" w:rsidR="00E95E05" w:rsidRPr="00882501" w:rsidRDefault="00E95E05" w:rsidP="00DC5A81">
            <w:r w:rsidRPr="00882501">
              <w:t>NOx</w:t>
            </w:r>
          </w:p>
        </w:tc>
        <w:tc>
          <w:tcPr>
            <w:tcW w:w="2880" w:type="dxa"/>
          </w:tcPr>
          <w:p w14:paraId="4CAEC18C" w14:textId="77777777" w:rsidR="00E95E05" w:rsidRPr="00882501" w:rsidRDefault="00E95E05" w:rsidP="00DC5A81">
            <w:r w:rsidRPr="00882501">
              <w:t>6.2</w:t>
            </w:r>
          </w:p>
        </w:tc>
      </w:tr>
      <w:tr w:rsidR="00E95E05" w:rsidRPr="00882501" w14:paraId="25ABF633" w14:textId="77777777" w:rsidTr="00DC5A81">
        <w:tc>
          <w:tcPr>
            <w:tcW w:w="1278" w:type="dxa"/>
          </w:tcPr>
          <w:p w14:paraId="3365BFAB" w14:textId="77777777" w:rsidR="00E95E05" w:rsidRPr="00882501" w:rsidRDefault="00E95E05" w:rsidP="00DC5A81">
            <w:r w:rsidRPr="00882501">
              <w:t>CO</w:t>
            </w:r>
          </w:p>
        </w:tc>
        <w:tc>
          <w:tcPr>
            <w:tcW w:w="2880" w:type="dxa"/>
          </w:tcPr>
          <w:p w14:paraId="6176CD39" w14:textId="77777777" w:rsidR="00E95E05" w:rsidRPr="00882501" w:rsidRDefault="00E95E05" w:rsidP="00DC5A81">
            <w:r w:rsidRPr="00882501">
              <w:t>3.6</w:t>
            </w:r>
          </w:p>
        </w:tc>
      </w:tr>
      <w:tr w:rsidR="00E95E05" w:rsidRPr="00882501" w14:paraId="3F15020C" w14:textId="77777777" w:rsidTr="00DC5A81">
        <w:tc>
          <w:tcPr>
            <w:tcW w:w="1278" w:type="dxa"/>
          </w:tcPr>
          <w:p w14:paraId="5110CAFB" w14:textId="77777777" w:rsidR="00E95E05" w:rsidRPr="00882501" w:rsidRDefault="00E95E05" w:rsidP="00DC5A81">
            <w:r w:rsidRPr="00882501">
              <w:t>Pb</w:t>
            </w:r>
          </w:p>
        </w:tc>
        <w:tc>
          <w:tcPr>
            <w:tcW w:w="2880" w:type="dxa"/>
          </w:tcPr>
          <w:p w14:paraId="0C47F1D4" w14:textId="77777777" w:rsidR="00E95E05" w:rsidRPr="00882501" w:rsidRDefault="00E95E05" w:rsidP="00DC5A81">
            <w:r w:rsidRPr="00882501">
              <w:t>0.12</w:t>
            </w:r>
          </w:p>
        </w:tc>
      </w:tr>
    </w:tbl>
    <w:p w14:paraId="1D9A5924" w14:textId="3E11C3EE" w:rsidR="00157B5D" w:rsidRDefault="00157B5D" w:rsidP="00390470">
      <w:pPr>
        <w:pStyle w:val="BodyText"/>
        <w:spacing w:before="120"/>
        <w:rPr>
          <w:sz w:val="22"/>
          <w:szCs w:val="22"/>
        </w:rPr>
      </w:pPr>
      <w:r>
        <w:rPr>
          <w:sz w:val="22"/>
          <w:szCs w:val="22"/>
        </w:rPr>
        <w:t>The</w:t>
      </w:r>
      <w:r w:rsidRPr="006E0DEA">
        <w:rPr>
          <w:sz w:val="22"/>
          <w:szCs w:val="22"/>
        </w:rPr>
        <w:t xml:space="preserve"> existing </w:t>
      </w:r>
      <w:r>
        <w:rPr>
          <w:sz w:val="22"/>
          <w:szCs w:val="22"/>
        </w:rPr>
        <w:t>Hamp</w:t>
      </w:r>
      <w:r w:rsidRPr="006E0DEA">
        <w:rPr>
          <w:sz w:val="22"/>
          <w:szCs w:val="22"/>
        </w:rPr>
        <w:t>t</w:t>
      </w:r>
      <w:r>
        <w:rPr>
          <w:sz w:val="22"/>
          <w:szCs w:val="22"/>
        </w:rPr>
        <w:t>on</w:t>
      </w:r>
      <w:r w:rsidRPr="006E0DEA">
        <w:rPr>
          <w:sz w:val="22"/>
          <w:szCs w:val="22"/>
        </w:rPr>
        <w:t xml:space="preserve"> facility, prior to </w:t>
      </w:r>
      <w:r w:rsidR="00E77D0C">
        <w:rPr>
          <w:color w:val="000000"/>
          <w:sz w:val="22"/>
          <w:szCs w:val="22"/>
        </w:rPr>
        <w:t>project 0070004-015-AC</w:t>
      </w:r>
      <w:r w:rsidRPr="006E0DEA">
        <w:rPr>
          <w:sz w:val="22"/>
          <w:szCs w:val="22"/>
        </w:rPr>
        <w:t xml:space="preserve">, was classified as a minor </w:t>
      </w:r>
      <w:r>
        <w:rPr>
          <w:sz w:val="22"/>
          <w:szCs w:val="22"/>
        </w:rPr>
        <w:t xml:space="preserve">PSD </w:t>
      </w:r>
      <w:r w:rsidRPr="006E0DEA">
        <w:rPr>
          <w:sz w:val="22"/>
          <w:szCs w:val="22"/>
        </w:rPr>
        <w:t xml:space="preserve">stationary source.  </w:t>
      </w:r>
      <w:r>
        <w:rPr>
          <w:sz w:val="22"/>
          <w:szCs w:val="22"/>
        </w:rPr>
        <w:t>P</w:t>
      </w:r>
      <w:r w:rsidRPr="006E0DEA">
        <w:rPr>
          <w:sz w:val="22"/>
          <w:szCs w:val="22"/>
        </w:rPr>
        <w:t>ursuant to Rule 62-210.200(194)(a)3., F.A.C. – Major Stationary source, the requested modification</w:t>
      </w:r>
      <w:r>
        <w:rPr>
          <w:sz w:val="22"/>
          <w:szCs w:val="22"/>
        </w:rPr>
        <w:t xml:space="preserve"> project</w:t>
      </w:r>
      <w:r w:rsidRPr="006E0DEA">
        <w:rPr>
          <w:sz w:val="22"/>
          <w:szCs w:val="22"/>
        </w:rPr>
        <w:t xml:space="preserve"> by itself </w:t>
      </w:r>
      <w:r>
        <w:rPr>
          <w:sz w:val="22"/>
          <w:szCs w:val="22"/>
        </w:rPr>
        <w:t>would</w:t>
      </w:r>
      <w:r w:rsidRPr="006E0DEA">
        <w:rPr>
          <w:sz w:val="22"/>
          <w:szCs w:val="22"/>
        </w:rPr>
        <w:t xml:space="preserve"> have </w:t>
      </w:r>
      <w:r>
        <w:rPr>
          <w:sz w:val="22"/>
          <w:szCs w:val="22"/>
        </w:rPr>
        <w:t xml:space="preserve">had </w:t>
      </w:r>
      <w:r w:rsidRPr="006E0DEA">
        <w:rPr>
          <w:sz w:val="22"/>
          <w:szCs w:val="22"/>
        </w:rPr>
        <w:t>to constitute a major stationary source, in order for PSD rev</w:t>
      </w:r>
      <w:r>
        <w:rPr>
          <w:sz w:val="22"/>
          <w:szCs w:val="22"/>
        </w:rPr>
        <w:t xml:space="preserve">iew to have been </w:t>
      </w:r>
      <w:r w:rsidRPr="006E0DEA">
        <w:rPr>
          <w:sz w:val="22"/>
          <w:szCs w:val="22"/>
        </w:rPr>
        <w:t>required for the project.</w:t>
      </w:r>
    </w:p>
    <w:p w14:paraId="79EEEC56" w14:textId="5058C5F2" w:rsidR="00ED5ED4" w:rsidRDefault="00ED5ED4" w:rsidP="00AA474D">
      <w:pPr>
        <w:pStyle w:val="BodyText"/>
        <w:rPr>
          <w:sz w:val="22"/>
          <w:szCs w:val="22"/>
        </w:rPr>
      </w:pPr>
      <w:r>
        <w:rPr>
          <w:sz w:val="22"/>
          <w:szCs w:val="22"/>
        </w:rPr>
        <w:t xml:space="preserve">The operations at the Hampton facility are </w:t>
      </w:r>
      <w:r w:rsidRPr="006E0DEA">
        <w:rPr>
          <w:sz w:val="22"/>
          <w:szCs w:val="22"/>
        </w:rPr>
        <w:t>not listed as being one of the 28 PSD Major Source Categories</w:t>
      </w:r>
      <w:r>
        <w:rPr>
          <w:sz w:val="22"/>
          <w:szCs w:val="22"/>
        </w:rPr>
        <w:t xml:space="preserve">.  The facility also does not operate </w:t>
      </w:r>
      <w:r w:rsidRPr="007C2405">
        <w:rPr>
          <w:sz w:val="22"/>
          <w:szCs w:val="22"/>
        </w:rPr>
        <w:t>fossil fuel boilers (or combinations thereof) totaling more than 250 million British thermal units per hour heat input</w:t>
      </w:r>
      <w:r>
        <w:rPr>
          <w:sz w:val="22"/>
          <w:szCs w:val="22"/>
        </w:rPr>
        <w:t xml:space="preserve">.  As such, </w:t>
      </w:r>
      <w:r w:rsidRPr="006E0DEA">
        <w:rPr>
          <w:sz w:val="22"/>
          <w:szCs w:val="22"/>
        </w:rPr>
        <w:t>the Prevention of Significant Deterioration (PSD) major source applicability threshold is 250 ton per year.</w:t>
      </w:r>
    </w:p>
    <w:p w14:paraId="169CA770" w14:textId="3C4FBB33" w:rsidR="00E95E05" w:rsidRDefault="00F07522" w:rsidP="00AA474D">
      <w:pPr>
        <w:pStyle w:val="BodyText"/>
        <w:rPr>
          <w:color w:val="000000"/>
          <w:sz w:val="22"/>
          <w:szCs w:val="22"/>
        </w:rPr>
      </w:pPr>
      <w:r>
        <w:rPr>
          <w:color w:val="000000"/>
          <w:sz w:val="22"/>
          <w:szCs w:val="22"/>
        </w:rPr>
        <w:t>The</w:t>
      </w:r>
      <w:r w:rsidR="00157B5D">
        <w:rPr>
          <w:color w:val="000000"/>
          <w:sz w:val="22"/>
          <w:szCs w:val="22"/>
        </w:rPr>
        <w:t xml:space="preserve"> total potential emissions due to the Project 0070004-015-AC </w:t>
      </w:r>
      <w:r w:rsidR="00ED5ED4">
        <w:rPr>
          <w:color w:val="000000"/>
          <w:sz w:val="22"/>
          <w:szCs w:val="22"/>
        </w:rPr>
        <w:t>did not equal or exceed 250 tons per year of a PSD pollutant</w:t>
      </w:r>
      <w:r w:rsidR="00157B5D">
        <w:rPr>
          <w:color w:val="000000"/>
          <w:sz w:val="22"/>
          <w:szCs w:val="22"/>
        </w:rPr>
        <w:t xml:space="preserve"> and the project </w:t>
      </w:r>
      <w:r>
        <w:rPr>
          <w:color w:val="000000"/>
          <w:sz w:val="22"/>
          <w:szCs w:val="22"/>
        </w:rPr>
        <w:t xml:space="preserve">therefore </w:t>
      </w:r>
      <w:r w:rsidR="00157B5D">
        <w:rPr>
          <w:color w:val="000000"/>
          <w:sz w:val="22"/>
          <w:szCs w:val="22"/>
        </w:rPr>
        <w:t>did not undergo PSD review</w:t>
      </w:r>
      <w:r w:rsidR="00247D4C">
        <w:rPr>
          <w:color w:val="000000"/>
          <w:sz w:val="22"/>
          <w:szCs w:val="22"/>
        </w:rPr>
        <w:t>.</w:t>
      </w:r>
    </w:p>
    <w:p w14:paraId="64D3E78D" w14:textId="2E4EF21A" w:rsidR="00AA4342" w:rsidRPr="00AA474D" w:rsidRDefault="00B1784C" w:rsidP="00AA4342">
      <w:pPr>
        <w:pStyle w:val="BodyText"/>
        <w:rPr>
          <w:color w:val="000000"/>
          <w:sz w:val="22"/>
          <w:szCs w:val="22"/>
        </w:rPr>
      </w:pPr>
      <w:r>
        <w:rPr>
          <w:color w:val="000000"/>
          <w:sz w:val="22"/>
          <w:szCs w:val="22"/>
        </w:rPr>
        <w:t xml:space="preserve">The Hampton facility began initial startup of the SPN Fines extraction process </w:t>
      </w:r>
      <w:r w:rsidR="00B709A0">
        <w:rPr>
          <w:color w:val="000000"/>
          <w:sz w:val="22"/>
          <w:szCs w:val="22"/>
        </w:rPr>
        <w:t>during</w:t>
      </w:r>
      <w:r>
        <w:rPr>
          <w:color w:val="000000"/>
          <w:sz w:val="22"/>
          <w:szCs w:val="22"/>
        </w:rPr>
        <w:t xml:space="preserve"> October 2011.  </w:t>
      </w:r>
      <w:r w:rsidR="00AA4342" w:rsidRPr="00AA474D">
        <w:rPr>
          <w:color w:val="000000"/>
          <w:sz w:val="22"/>
          <w:szCs w:val="22"/>
        </w:rPr>
        <w:t>The Hampton facility received Construction Permit No. 0070004</w:t>
      </w:r>
      <w:r w:rsidR="00AA4342" w:rsidRPr="00AA474D">
        <w:rPr>
          <w:rFonts w:ascii="Cambria Math" w:hAnsi="Cambria Math" w:cs="Cambria Math"/>
          <w:color w:val="000000"/>
          <w:sz w:val="22"/>
          <w:szCs w:val="22"/>
        </w:rPr>
        <w:t>‐</w:t>
      </w:r>
      <w:r w:rsidR="00AA4342" w:rsidRPr="00AA474D">
        <w:rPr>
          <w:color w:val="000000"/>
          <w:sz w:val="22"/>
          <w:szCs w:val="22"/>
        </w:rPr>
        <w:t>0</w:t>
      </w:r>
      <w:r w:rsidR="00AA4342">
        <w:rPr>
          <w:color w:val="000000"/>
          <w:sz w:val="22"/>
          <w:szCs w:val="22"/>
        </w:rPr>
        <w:t>22</w:t>
      </w:r>
      <w:r w:rsidR="00AA4342" w:rsidRPr="00AA474D">
        <w:rPr>
          <w:rFonts w:ascii="Cambria Math" w:hAnsi="Cambria Math" w:cs="Cambria Math"/>
          <w:color w:val="000000"/>
          <w:sz w:val="22"/>
          <w:szCs w:val="22"/>
        </w:rPr>
        <w:t>‐</w:t>
      </w:r>
      <w:r w:rsidR="008C1824">
        <w:rPr>
          <w:color w:val="000000"/>
          <w:sz w:val="22"/>
          <w:szCs w:val="22"/>
        </w:rPr>
        <w:t xml:space="preserve">AC </w:t>
      </w:r>
      <w:r w:rsidR="00AA4342" w:rsidRPr="00AA474D">
        <w:rPr>
          <w:color w:val="000000"/>
          <w:sz w:val="22"/>
          <w:szCs w:val="22"/>
        </w:rPr>
        <w:t xml:space="preserve">on </w:t>
      </w:r>
      <w:r w:rsidR="00AA4342">
        <w:rPr>
          <w:color w:val="000000"/>
          <w:sz w:val="22"/>
          <w:szCs w:val="22"/>
        </w:rPr>
        <w:t>September 27, 2013</w:t>
      </w:r>
      <w:r w:rsidR="00AA4342" w:rsidRPr="00AA474D">
        <w:rPr>
          <w:color w:val="000000"/>
          <w:sz w:val="22"/>
          <w:szCs w:val="22"/>
        </w:rPr>
        <w:t>,</w:t>
      </w:r>
      <w:r w:rsidR="00AA4342">
        <w:rPr>
          <w:color w:val="000000"/>
          <w:sz w:val="22"/>
          <w:szCs w:val="22"/>
        </w:rPr>
        <w:t xml:space="preserve"> which reauthorized the construction </w:t>
      </w:r>
      <w:r w:rsidR="00AA4342" w:rsidRPr="00AA474D">
        <w:rPr>
          <w:color w:val="000000"/>
          <w:sz w:val="22"/>
          <w:szCs w:val="22"/>
        </w:rPr>
        <w:t>of</w:t>
      </w:r>
      <w:r w:rsidR="00AA4342">
        <w:rPr>
          <w:color w:val="000000"/>
          <w:sz w:val="22"/>
          <w:szCs w:val="22"/>
        </w:rPr>
        <w:t xml:space="preserve"> </w:t>
      </w:r>
      <w:r w:rsidR="00AA4342" w:rsidRPr="00AA474D">
        <w:rPr>
          <w:color w:val="000000"/>
          <w:sz w:val="22"/>
          <w:szCs w:val="22"/>
        </w:rPr>
        <w:t xml:space="preserve">the secondary protein nutrient (SPN) fines solvent extraction process (EU 016) </w:t>
      </w:r>
      <w:r w:rsidR="00AA4342">
        <w:rPr>
          <w:color w:val="000000"/>
          <w:sz w:val="22"/>
          <w:szCs w:val="22"/>
        </w:rPr>
        <w:t>and steam generating unit No. 4 (EU 017</w:t>
      </w:r>
      <w:r w:rsidR="0064510A">
        <w:rPr>
          <w:color w:val="000000"/>
          <w:sz w:val="22"/>
          <w:szCs w:val="22"/>
        </w:rPr>
        <w:t>)</w:t>
      </w:r>
      <w:r w:rsidR="00AA4342" w:rsidRPr="00AA474D">
        <w:rPr>
          <w:color w:val="000000"/>
          <w:sz w:val="22"/>
          <w:szCs w:val="22"/>
        </w:rPr>
        <w:t xml:space="preserve">. </w:t>
      </w:r>
    </w:p>
    <w:p w14:paraId="0BF34EF4" w14:textId="0D2D789D" w:rsidR="00AA4342" w:rsidRPr="00AA4342" w:rsidRDefault="00AA4342" w:rsidP="00390470">
      <w:pPr>
        <w:autoSpaceDE w:val="0"/>
        <w:autoSpaceDN w:val="0"/>
        <w:adjustRightInd w:val="0"/>
        <w:spacing w:before="120" w:after="120"/>
        <w:rPr>
          <w:sz w:val="22"/>
          <w:szCs w:val="22"/>
        </w:rPr>
      </w:pPr>
      <w:r w:rsidRPr="00AA4342">
        <w:rPr>
          <w:sz w:val="22"/>
          <w:szCs w:val="22"/>
        </w:rPr>
        <w:t>The original deso</w:t>
      </w:r>
      <w:r w:rsidR="001C2C31">
        <w:rPr>
          <w:sz w:val="22"/>
          <w:szCs w:val="22"/>
        </w:rPr>
        <w:t>l</w:t>
      </w:r>
      <w:r w:rsidRPr="00AA4342">
        <w:rPr>
          <w:sz w:val="22"/>
          <w:szCs w:val="22"/>
        </w:rPr>
        <w:t>ventization batch processors that were installed under Construction Permit No. 0070004-015-AC for the SPN Fines process proved to be inadequate in producing specification product.  The facility was unable to adequately remove hexane on a consistent basis with the equipment that had been installed.   Construction Permit No. 0070004-0</w:t>
      </w:r>
      <w:r w:rsidR="00BF2057">
        <w:rPr>
          <w:sz w:val="22"/>
          <w:szCs w:val="22"/>
        </w:rPr>
        <w:t>22</w:t>
      </w:r>
      <w:r w:rsidRPr="00AA4342">
        <w:rPr>
          <w:sz w:val="22"/>
          <w:szCs w:val="22"/>
        </w:rPr>
        <w:t xml:space="preserve">-AC authorized the facility to replace the two (2) specialty batch desolventizers with a single, continuous flow, tray desolventizer to obtain a sellable meal product. </w:t>
      </w:r>
      <w:r w:rsidR="00CA0F73">
        <w:rPr>
          <w:sz w:val="22"/>
          <w:szCs w:val="22"/>
        </w:rPr>
        <w:t>Griffin stated that this</w:t>
      </w:r>
      <w:r w:rsidRPr="00AA4342">
        <w:rPr>
          <w:sz w:val="22"/>
          <w:szCs w:val="22"/>
        </w:rPr>
        <w:t xml:space="preserve"> type of desolventizer technology is used in the vegetable oil extraction industry to effectively remove solvent from the oilseed meal materials. </w:t>
      </w:r>
      <w:r w:rsidR="00D5586C">
        <w:rPr>
          <w:sz w:val="22"/>
          <w:szCs w:val="22"/>
        </w:rPr>
        <w:t>Griffin</w:t>
      </w:r>
      <w:r w:rsidRPr="00AA4342">
        <w:rPr>
          <w:sz w:val="22"/>
          <w:szCs w:val="22"/>
        </w:rPr>
        <w:t xml:space="preserve"> believed that this type of desolventizer should have resulted in adequate hexane removal and overall lower hexane air emissions.   </w:t>
      </w:r>
    </w:p>
    <w:p w14:paraId="3AFD1FE9" w14:textId="70BCD54E" w:rsidR="00DC5A81" w:rsidRDefault="00DC5A81" w:rsidP="00390470">
      <w:pPr>
        <w:autoSpaceDE w:val="0"/>
        <w:autoSpaceDN w:val="0"/>
        <w:adjustRightInd w:val="0"/>
        <w:spacing w:after="120"/>
        <w:rPr>
          <w:color w:val="000000"/>
          <w:sz w:val="22"/>
          <w:szCs w:val="22"/>
        </w:rPr>
      </w:pPr>
      <w:r>
        <w:rPr>
          <w:color w:val="000000"/>
          <w:sz w:val="22"/>
          <w:szCs w:val="22"/>
        </w:rPr>
        <w:t>Griffin states the following in this application submittal (Project 0070004-025-AC)</w:t>
      </w:r>
      <w:r w:rsidR="00390470">
        <w:rPr>
          <w:color w:val="000000"/>
          <w:sz w:val="22"/>
          <w:szCs w:val="22"/>
        </w:rPr>
        <w:t>:</w:t>
      </w:r>
    </w:p>
    <w:p w14:paraId="5873FCAB" w14:textId="74B11624" w:rsidR="00390470" w:rsidRDefault="00DC5A81" w:rsidP="00390470">
      <w:pPr>
        <w:autoSpaceDE w:val="0"/>
        <w:autoSpaceDN w:val="0"/>
        <w:adjustRightInd w:val="0"/>
        <w:spacing w:after="120"/>
        <w:rPr>
          <w:i/>
          <w:sz w:val="22"/>
          <w:szCs w:val="22"/>
        </w:rPr>
      </w:pPr>
      <w:r w:rsidRPr="000A6BDA">
        <w:rPr>
          <w:i/>
          <w:color w:val="000000"/>
          <w:sz w:val="22"/>
          <w:szCs w:val="22"/>
        </w:rPr>
        <w:t xml:space="preserve">“The construction permit application submitted for the SPN fines solvent extraction process estimated, based on all available information at the time, the presumed solvent losses from the process lower than that have been actually experienced. </w:t>
      </w:r>
      <w:r w:rsidRPr="000A6BDA">
        <w:rPr>
          <w:i/>
          <w:sz w:val="22"/>
          <w:szCs w:val="22"/>
        </w:rPr>
        <w:t>This estimate for potential VOC emissions was not purposefully less than actual, as no identified operation existed in the U.S. when the process was constructed, but instead was based on losses associated with the continuously operated larger scale vegetable oil extraction process. Actual solvent losses were determined once the initial 12</w:t>
      </w:r>
      <w:r w:rsidRPr="000A6BDA">
        <w:rPr>
          <w:rFonts w:ascii="Cambria Math" w:hAnsi="Cambria Math" w:cs="Cambria Math"/>
          <w:i/>
          <w:sz w:val="22"/>
          <w:szCs w:val="22"/>
        </w:rPr>
        <w:t>‐</w:t>
      </w:r>
      <w:r w:rsidRPr="000A6BDA">
        <w:rPr>
          <w:i/>
          <w:sz w:val="22"/>
          <w:szCs w:val="22"/>
        </w:rPr>
        <w:t>months of normal operation commenced in 2014. For multiple operating reasons, including the batch nature of the process, the actual solvent losses on a per ton of raw material basis have exceeded the initial emissions estimate for VOC; however the actual total losses from the process have not exceeded the initial unlimited potential to emit identified in the construction permit application.”</w:t>
      </w:r>
      <w:r w:rsidR="00390470">
        <w:rPr>
          <w:i/>
          <w:sz w:val="22"/>
          <w:szCs w:val="22"/>
        </w:rPr>
        <w:br w:type="page"/>
      </w:r>
    </w:p>
    <w:p w14:paraId="1615DDF6" w14:textId="2ABC7FEE" w:rsidR="000A6BDA" w:rsidRPr="000A6BDA" w:rsidRDefault="008B3CB9" w:rsidP="000A6BDA">
      <w:pPr>
        <w:autoSpaceDE w:val="0"/>
        <w:autoSpaceDN w:val="0"/>
        <w:adjustRightInd w:val="0"/>
        <w:rPr>
          <w:i/>
          <w:sz w:val="22"/>
          <w:szCs w:val="22"/>
        </w:rPr>
      </w:pPr>
      <w:r w:rsidRPr="008B3CB9">
        <w:rPr>
          <w:sz w:val="22"/>
          <w:szCs w:val="22"/>
        </w:rPr>
        <w:lastRenderedPageBreak/>
        <w:t xml:space="preserve">In </w:t>
      </w:r>
      <w:r>
        <w:rPr>
          <w:sz w:val="22"/>
          <w:szCs w:val="22"/>
        </w:rPr>
        <w:t xml:space="preserve">the </w:t>
      </w:r>
      <w:r w:rsidRPr="008B3CB9">
        <w:rPr>
          <w:sz w:val="22"/>
          <w:szCs w:val="22"/>
        </w:rPr>
        <w:t xml:space="preserve">RAI response </w:t>
      </w:r>
      <w:r>
        <w:rPr>
          <w:sz w:val="22"/>
          <w:szCs w:val="22"/>
        </w:rPr>
        <w:t xml:space="preserve">dated </w:t>
      </w:r>
      <w:r w:rsidRPr="008B3CB9">
        <w:rPr>
          <w:sz w:val="22"/>
          <w:szCs w:val="22"/>
        </w:rPr>
        <w:t>September 14, 2015</w:t>
      </w:r>
      <w:r w:rsidR="000A6BDA" w:rsidRPr="00545E4C">
        <w:rPr>
          <w:sz w:val="22"/>
          <w:szCs w:val="22"/>
        </w:rPr>
        <w:t xml:space="preserve">, Griffin states, </w:t>
      </w:r>
      <w:r w:rsidR="000A6BDA" w:rsidRPr="000A6BDA">
        <w:rPr>
          <w:i/>
          <w:sz w:val="22"/>
          <w:szCs w:val="22"/>
        </w:rPr>
        <w:t>“The total solvent loss rate for the Hampton facility process is indifferent to the HAP n</w:t>
      </w:r>
      <w:r w:rsidR="000A6BDA" w:rsidRPr="000A6BDA">
        <w:rPr>
          <w:rFonts w:ascii="Cambria Math" w:hAnsi="Cambria Math" w:cs="Cambria Math"/>
          <w:i/>
          <w:sz w:val="22"/>
          <w:szCs w:val="22"/>
        </w:rPr>
        <w:t>‐</w:t>
      </w:r>
      <w:r w:rsidR="000A6BDA" w:rsidRPr="000A6BDA">
        <w:rPr>
          <w:i/>
          <w:sz w:val="22"/>
          <w:szCs w:val="22"/>
        </w:rPr>
        <w:t>hexane content of the solvent. This 12</w:t>
      </w:r>
      <w:r w:rsidR="000A6BDA" w:rsidRPr="000A6BDA">
        <w:rPr>
          <w:rFonts w:ascii="Cambria Math" w:hAnsi="Cambria Math" w:cs="Cambria Math"/>
          <w:i/>
          <w:sz w:val="22"/>
          <w:szCs w:val="22"/>
        </w:rPr>
        <w:t>‐</w:t>
      </w:r>
      <w:r w:rsidR="000A6BDA" w:rsidRPr="000A6BDA">
        <w:rPr>
          <w:i/>
          <w:sz w:val="22"/>
          <w:szCs w:val="22"/>
        </w:rPr>
        <w:t>month rolling solvent loss rate (based on first five 12</w:t>
      </w:r>
      <w:r w:rsidR="000A6BDA" w:rsidRPr="000A6BDA">
        <w:rPr>
          <w:rFonts w:ascii="Cambria Math" w:hAnsi="Cambria Math" w:cs="Cambria Math"/>
          <w:i/>
          <w:sz w:val="22"/>
          <w:szCs w:val="22"/>
        </w:rPr>
        <w:t>‐</w:t>
      </w:r>
      <w:r w:rsidR="000A6BDA" w:rsidRPr="000A6BDA">
        <w:rPr>
          <w:i/>
          <w:sz w:val="22"/>
          <w:szCs w:val="22"/>
        </w:rPr>
        <w:t>month rolling periods of normal operation) has been approximately 5.89 gal/ton.</w:t>
      </w:r>
      <w:r w:rsidR="00C01B8B" w:rsidRPr="00C01B8B">
        <w:rPr>
          <w:i/>
          <w:sz w:val="22"/>
          <w:szCs w:val="22"/>
          <w:vertAlign w:val="superscript"/>
        </w:rPr>
        <w:t>3</w:t>
      </w:r>
      <w:r w:rsidR="00C01B8B">
        <w:rPr>
          <w:i/>
          <w:sz w:val="22"/>
          <w:szCs w:val="22"/>
        </w:rPr>
        <w:t xml:space="preserve"> </w:t>
      </w:r>
      <w:r w:rsidR="000A6BDA" w:rsidRPr="000A6BDA">
        <w:rPr>
          <w:i/>
          <w:sz w:val="22"/>
          <w:szCs w:val="22"/>
        </w:rPr>
        <w:t xml:space="preserve"> Due to the higher solvent loss rate (and extremely conservative assumption that all solvent used is lost to as process emissions and not remaining in the product), Griffin is requesting the HAP synthetic minor emissions limitation that can only be achieved using a combination of lower HAP solvent and traditional industry standard solvent (as compared to the continuous use of traditional industry standard solvent only).</w:t>
      </w:r>
    </w:p>
    <w:p w14:paraId="35BF86B2" w14:textId="77777777" w:rsidR="000A6BDA" w:rsidRDefault="000A6BDA" w:rsidP="000A6BDA">
      <w:pPr>
        <w:autoSpaceDE w:val="0"/>
        <w:autoSpaceDN w:val="0"/>
        <w:adjustRightInd w:val="0"/>
        <w:rPr>
          <w:rFonts w:ascii="Cambria" w:hAnsi="Cambria" w:cs="Cambria"/>
          <w:sz w:val="21"/>
          <w:szCs w:val="21"/>
        </w:rPr>
      </w:pPr>
    </w:p>
    <w:p w14:paraId="0F9F18C8" w14:textId="16CF90F2" w:rsidR="000A6BDA" w:rsidRDefault="00C01B8B" w:rsidP="00C01B8B">
      <w:pPr>
        <w:autoSpaceDE w:val="0"/>
        <w:autoSpaceDN w:val="0"/>
        <w:adjustRightInd w:val="0"/>
        <w:ind w:left="90" w:hanging="90"/>
        <w:rPr>
          <w:i/>
        </w:rPr>
      </w:pPr>
      <w:r w:rsidRPr="00545E4C">
        <w:rPr>
          <w:i/>
          <w:vertAlign w:val="superscript"/>
        </w:rPr>
        <w:t xml:space="preserve">3 </w:t>
      </w:r>
      <w:r w:rsidRPr="00545E4C">
        <w:rPr>
          <w:i/>
        </w:rPr>
        <w:t>Solvent loss usage (gallons) and SPN fines processed (tons) data submitted monthly to DEP NE District Office compliance group in accordance with Case-by-Case MACT compliance requirement in Title V permit.</w:t>
      </w:r>
      <w:r w:rsidR="00545E4C">
        <w:rPr>
          <w:i/>
        </w:rPr>
        <w:t>”</w:t>
      </w:r>
    </w:p>
    <w:p w14:paraId="33F842E5" w14:textId="77777777" w:rsidR="00545E4C" w:rsidRDefault="00545E4C" w:rsidP="00C01B8B">
      <w:pPr>
        <w:autoSpaceDE w:val="0"/>
        <w:autoSpaceDN w:val="0"/>
        <w:adjustRightInd w:val="0"/>
        <w:ind w:left="90" w:hanging="90"/>
        <w:rPr>
          <w:i/>
        </w:rPr>
      </w:pPr>
    </w:p>
    <w:p w14:paraId="065C0C89" w14:textId="1C4E66E8" w:rsidR="00C01B8B" w:rsidRPr="008B3CB9" w:rsidRDefault="00545E4C" w:rsidP="00C01B8B">
      <w:pPr>
        <w:autoSpaceDE w:val="0"/>
        <w:autoSpaceDN w:val="0"/>
        <w:adjustRightInd w:val="0"/>
        <w:rPr>
          <w:sz w:val="22"/>
          <w:szCs w:val="22"/>
        </w:rPr>
      </w:pPr>
      <w:r w:rsidRPr="008B3CB9">
        <w:rPr>
          <w:sz w:val="22"/>
          <w:szCs w:val="22"/>
        </w:rPr>
        <w:t xml:space="preserve">In </w:t>
      </w:r>
      <w:r w:rsidR="008B3CB9">
        <w:rPr>
          <w:sz w:val="22"/>
          <w:szCs w:val="22"/>
        </w:rPr>
        <w:t xml:space="preserve">the </w:t>
      </w:r>
      <w:r w:rsidRPr="008B3CB9">
        <w:rPr>
          <w:sz w:val="22"/>
          <w:szCs w:val="22"/>
        </w:rPr>
        <w:t xml:space="preserve">RAI response </w:t>
      </w:r>
      <w:r w:rsidR="008B3CB9">
        <w:rPr>
          <w:sz w:val="22"/>
          <w:szCs w:val="22"/>
        </w:rPr>
        <w:t xml:space="preserve">dated </w:t>
      </w:r>
      <w:r w:rsidRPr="008B3CB9">
        <w:rPr>
          <w:sz w:val="22"/>
          <w:szCs w:val="22"/>
        </w:rPr>
        <w:t xml:space="preserve">September 14, 2015, Griffin also provided the potential VOC emissions </w:t>
      </w:r>
      <w:r w:rsidR="008B3CB9" w:rsidRPr="008B3CB9">
        <w:rPr>
          <w:sz w:val="22"/>
          <w:szCs w:val="22"/>
        </w:rPr>
        <w:t>based on use of the traditional industry solvent, the permit SPN Fines processing limit of 100 tons per day, the average 12-month rolling solvent loss rate of 5.89 gallons/ton (based on first five 12</w:t>
      </w:r>
      <w:r w:rsidR="008B3CB9" w:rsidRPr="008B3CB9">
        <w:rPr>
          <w:rFonts w:ascii="Cambria Math" w:hAnsi="Cambria Math" w:cs="Cambria Math"/>
          <w:sz w:val="22"/>
          <w:szCs w:val="22"/>
        </w:rPr>
        <w:t>‐</w:t>
      </w:r>
      <w:r w:rsidR="008B3CB9" w:rsidRPr="008B3CB9">
        <w:rPr>
          <w:sz w:val="22"/>
          <w:szCs w:val="22"/>
        </w:rPr>
        <w:t>month rolling periods of normal operation), and average solvent density of 5.52 pounds/gallon.</w:t>
      </w:r>
    </w:p>
    <w:p w14:paraId="7A67DBCE" w14:textId="77777777" w:rsidR="008B3CB9" w:rsidRPr="008B3CB9" w:rsidRDefault="008B3CB9" w:rsidP="00C01B8B">
      <w:pPr>
        <w:autoSpaceDE w:val="0"/>
        <w:autoSpaceDN w:val="0"/>
        <w:adjustRightInd w:val="0"/>
        <w:rPr>
          <w:sz w:val="22"/>
          <w:szCs w:val="22"/>
        </w:rPr>
      </w:pPr>
    </w:p>
    <w:p w14:paraId="59A95D39" w14:textId="60AE477C" w:rsidR="00545E4C" w:rsidRPr="002119E9" w:rsidRDefault="00AB473E" w:rsidP="00EA1CB9">
      <w:pPr>
        <w:autoSpaceDE w:val="0"/>
        <w:autoSpaceDN w:val="0"/>
        <w:adjustRightInd w:val="0"/>
        <w:spacing w:after="120"/>
        <w:rPr>
          <w:b/>
          <w:sz w:val="22"/>
          <w:szCs w:val="22"/>
        </w:rPr>
      </w:pPr>
      <w:r>
        <w:rPr>
          <w:b/>
          <w:sz w:val="22"/>
          <w:szCs w:val="22"/>
        </w:rPr>
        <w:t>As provided by the applicant, U</w:t>
      </w:r>
      <w:r w:rsidR="008B3CB9" w:rsidRPr="002119E9">
        <w:rPr>
          <w:b/>
          <w:sz w:val="22"/>
          <w:szCs w:val="22"/>
        </w:rPr>
        <w:t xml:space="preserve">nlimited potential VOC emissions </w:t>
      </w:r>
      <w:r w:rsidR="00FE2E92">
        <w:rPr>
          <w:b/>
          <w:sz w:val="22"/>
          <w:szCs w:val="22"/>
        </w:rPr>
        <w:t xml:space="preserve">for </w:t>
      </w:r>
      <w:r>
        <w:rPr>
          <w:b/>
          <w:sz w:val="22"/>
          <w:szCs w:val="22"/>
        </w:rPr>
        <w:t>EU 016</w:t>
      </w:r>
      <w:r w:rsidR="000B1252">
        <w:rPr>
          <w:b/>
          <w:sz w:val="22"/>
          <w:szCs w:val="22"/>
        </w:rPr>
        <w:t>, Table C</w:t>
      </w:r>
      <w:r w:rsidR="008B3CB9" w:rsidRPr="002119E9">
        <w:rPr>
          <w:b/>
          <w:sz w:val="22"/>
          <w:szCs w:val="22"/>
        </w:rPr>
        <w:t>:</w:t>
      </w:r>
    </w:p>
    <w:tbl>
      <w:tblPr>
        <w:tblStyle w:val="TableGrid"/>
        <w:tblW w:w="0" w:type="auto"/>
        <w:tblLook w:val="04A0" w:firstRow="1" w:lastRow="0" w:firstColumn="1" w:lastColumn="0" w:noHBand="0" w:noVBand="1"/>
      </w:tblPr>
      <w:tblGrid>
        <w:gridCol w:w="6025"/>
        <w:gridCol w:w="3420"/>
      </w:tblGrid>
      <w:tr w:rsidR="008B3CB9" w:rsidRPr="008B3CB9" w14:paraId="02F6626C" w14:textId="77777777" w:rsidTr="0050330C">
        <w:tc>
          <w:tcPr>
            <w:tcW w:w="6025" w:type="dxa"/>
          </w:tcPr>
          <w:p w14:paraId="4F148C14" w14:textId="02B4A200" w:rsidR="008B3CB9" w:rsidRPr="008B3CB9" w:rsidRDefault="008B3CB9" w:rsidP="00B432BE">
            <w:pPr>
              <w:autoSpaceDE w:val="0"/>
              <w:autoSpaceDN w:val="0"/>
              <w:adjustRightInd w:val="0"/>
              <w:spacing w:before="120"/>
              <w:rPr>
                <w:b/>
                <w:sz w:val="22"/>
                <w:szCs w:val="22"/>
              </w:rPr>
            </w:pPr>
            <w:r w:rsidRPr="008B3CB9">
              <w:rPr>
                <w:b/>
                <w:sz w:val="22"/>
                <w:szCs w:val="22"/>
              </w:rPr>
              <w:t>Operating Scenario</w:t>
            </w:r>
          </w:p>
        </w:tc>
        <w:tc>
          <w:tcPr>
            <w:tcW w:w="3420" w:type="dxa"/>
          </w:tcPr>
          <w:p w14:paraId="624EC55D" w14:textId="66B785D5" w:rsidR="008B3CB9" w:rsidRPr="008B3CB9" w:rsidRDefault="008B3CB9" w:rsidP="00B432BE">
            <w:pPr>
              <w:autoSpaceDE w:val="0"/>
              <w:autoSpaceDN w:val="0"/>
              <w:adjustRightInd w:val="0"/>
              <w:spacing w:before="120"/>
              <w:rPr>
                <w:b/>
                <w:sz w:val="22"/>
                <w:szCs w:val="22"/>
              </w:rPr>
            </w:pPr>
            <w:r w:rsidRPr="008B3CB9">
              <w:rPr>
                <w:b/>
                <w:sz w:val="22"/>
                <w:szCs w:val="22"/>
              </w:rPr>
              <w:t>VOC Emissions (TPY)</w:t>
            </w:r>
          </w:p>
        </w:tc>
      </w:tr>
      <w:tr w:rsidR="008B3CB9" w:rsidRPr="008B3CB9" w14:paraId="64AAACD0" w14:textId="77777777" w:rsidTr="0050330C">
        <w:tc>
          <w:tcPr>
            <w:tcW w:w="6025" w:type="dxa"/>
          </w:tcPr>
          <w:p w14:paraId="412A7059" w14:textId="0F763874" w:rsidR="008B3CB9" w:rsidRPr="008B3CB9" w:rsidRDefault="008B3CB9" w:rsidP="00027E3C">
            <w:pPr>
              <w:autoSpaceDE w:val="0"/>
              <w:autoSpaceDN w:val="0"/>
              <w:adjustRightInd w:val="0"/>
              <w:spacing w:before="120"/>
              <w:rPr>
                <w:sz w:val="22"/>
                <w:szCs w:val="22"/>
              </w:rPr>
            </w:pPr>
            <w:r w:rsidRPr="008B3CB9">
              <w:rPr>
                <w:sz w:val="22"/>
                <w:szCs w:val="22"/>
              </w:rPr>
              <w:t xml:space="preserve">Traditional Solvent usage (64% N-hexane, 36% </w:t>
            </w:r>
            <w:r w:rsidR="0050330C">
              <w:rPr>
                <w:sz w:val="22"/>
                <w:szCs w:val="22"/>
              </w:rPr>
              <w:t>hexane isomers</w:t>
            </w:r>
            <w:r w:rsidRPr="008B3CB9">
              <w:rPr>
                <w:sz w:val="22"/>
                <w:szCs w:val="22"/>
              </w:rPr>
              <w:t>)</w:t>
            </w:r>
          </w:p>
        </w:tc>
        <w:tc>
          <w:tcPr>
            <w:tcW w:w="3420" w:type="dxa"/>
          </w:tcPr>
          <w:p w14:paraId="1424D922" w14:textId="2CADF3C9" w:rsidR="008B3CB9" w:rsidRPr="008B3CB9" w:rsidRDefault="008B3CB9" w:rsidP="00B432BE">
            <w:pPr>
              <w:tabs>
                <w:tab w:val="left" w:pos="1070"/>
              </w:tabs>
              <w:autoSpaceDE w:val="0"/>
              <w:autoSpaceDN w:val="0"/>
              <w:adjustRightInd w:val="0"/>
              <w:spacing w:before="120"/>
              <w:rPr>
                <w:sz w:val="22"/>
                <w:szCs w:val="22"/>
              </w:rPr>
            </w:pPr>
            <w:r w:rsidRPr="008B3CB9">
              <w:rPr>
                <w:sz w:val="22"/>
                <w:szCs w:val="22"/>
              </w:rPr>
              <w:t>593.36</w:t>
            </w:r>
            <w:r w:rsidR="00B432BE">
              <w:rPr>
                <w:sz w:val="22"/>
                <w:szCs w:val="22"/>
              </w:rPr>
              <w:tab/>
            </w:r>
          </w:p>
        </w:tc>
      </w:tr>
    </w:tbl>
    <w:p w14:paraId="3FEB05D9" w14:textId="4E486D82" w:rsidR="00BC7AB4" w:rsidRDefault="002D60E9" w:rsidP="00EA1CB9">
      <w:pPr>
        <w:pStyle w:val="BodyText"/>
        <w:spacing w:before="120"/>
        <w:rPr>
          <w:color w:val="000000"/>
          <w:sz w:val="22"/>
          <w:szCs w:val="22"/>
        </w:rPr>
      </w:pPr>
      <w:r>
        <w:rPr>
          <w:rFonts w:eastAsia="Calibri"/>
          <w:bCs/>
          <w:sz w:val="22"/>
          <w:szCs w:val="22"/>
        </w:rPr>
        <w:t xml:space="preserve">With these </w:t>
      </w:r>
      <w:r w:rsidR="00B25B7D">
        <w:rPr>
          <w:rFonts w:eastAsia="Calibri"/>
          <w:bCs/>
          <w:sz w:val="22"/>
          <w:szCs w:val="22"/>
        </w:rPr>
        <w:t xml:space="preserve">unlimited </w:t>
      </w:r>
      <w:r>
        <w:rPr>
          <w:rFonts w:eastAsia="Calibri"/>
          <w:bCs/>
          <w:sz w:val="22"/>
          <w:szCs w:val="22"/>
        </w:rPr>
        <w:t>potential emissions</w:t>
      </w:r>
      <w:r w:rsidR="00B25B7D">
        <w:rPr>
          <w:rFonts w:eastAsia="Calibri"/>
          <w:bCs/>
          <w:sz w:val="22"/>
          <w:szCs w:val="22"/>
        </w:rPr>
        <w:t>,</w:t>
      </w:r>
      <w:r>
        <w:rPr>
          <w:rFonts w:eastAsia="Calibri"/>
          <w:bCs/>
          <w:sz w:val="22"/>
          <w:szCs w:val="22"/>
        </w:rPr>
        <w:t xml:space="preserve"> the Hampton facility would have become </w:t>
      </w:r>
      <w:r w:rsidRPr="00A47F5C">
        <w:rPr>
          <w:rFonts w:eastAsia="Calibri"/>
          <w:bCs/>
          <w:sz w:val="22"/>
          <w:szCs w:val="22"/>
        </w:rPr>
        <w:t xml:space="preserve">a major stationary source with respect for PSD from </w:t>
      </w:r>
      <w:r>
        <w:rPr>
          <w:rFonts w:eastAsia="Calibri"/>
          <w:bCs/>
          <w:sz w:val="22"/>
          <w:szCs w:val="22"/>
        </w:rPr>
        <w:t>the initial permitting of the SPN Fines Solvent Extraction Process, and the project would have undergone PSD review.</w:t>
      </w:r>
    </w:p>
    <w:p w14:paraId="11C26854" w14:textId="59C04F49" w:rsidR="00F30459" w:rsidRDefault="00836587" w:rsidP="00836587">
      <w:pPr>
        <w:pStyle w:val="BodyText"/>
        <w:rPr>
          <w:color w:val="000000"/>
          <w:sz w:val="22"/>
          <w:szCs w:val="22"/>
        </w:rPr>
      </w:pPr>
      <w:r>
        <w:rPr>
          <w:color w:val="000000"/>
          <w:sz w:val="22"/>
          <w:szCs w:val="22"/>
        </w:rPr>
        <w:t>Griffin is requesting in this</w:t>
      </w:r>
      <w:r w:rsidR="00BC7AB4">
        <w:rPr>
          <w:color w:val="000000"/>
          <w:sz w:val="22"/>
          <w:szCs w:val="22"/>
        </w:rPr>
        <w:t xml:space="preserve"> construction permit application, a PSD </w:t>
      </w:r>
      <w:r w:rsidRPr="00836587">
        <w:rPr>
          <w:color w:val="000000"/>
          <w:sz w:val="22"/>
          <w:szCs w:val="22"/>
        </w:rPr>
        <w:t>synthetic minor emissions limit of 249 tons/rolling</w:t>
      </w:r>
      <w:r w:rsidRPr="00836587">
        <w:rPr>
          <w:rFonts w:ascii="Cambria Math" w:hAnsi="Cambria Math" w:cs="Cambria Math"/>
          <w:color w:val="000000"/>
          <w:sz w:val="22"/>
          <w:szCs w:val="22"/>
        </w:rPr>
        <w:t>‐</w:t>
      </w:r>
      <w:r w:rsidRPr="00836587">
        <w:rPr>
          <w:color w:val="000000"/>
          <w:sz w:val="22"/>
          <w:szCs w:val="22"/>
        </w:rPr>
        <w:t>12 month period (less than</w:t>
      </w:r>
      <w:r>
        <w:rPr>
          <w:color w:val="000000"/>
          <w:sz w:val="22"/>
          <w:szCs w:val="22"/>
        </w:rPr>
        <w:t xml:space="preserve"> </w:t>
      </w:r>
      <w:r w:rsidRPr="00836587">
        <w:rPr>
          <w:color w:val="000000"/>
          <w:sz w:val="22"/>
          <w:szCs w:val="22"/>
        </w:rPr>
        <w:t>250 tpy) of facility</w:t>
      </w:r>
      <w:r w:rsidRPr="00836587">
        <w:rPr>
          <w:rFonts w:ascii="Cambria Math" w:hAnsi="Cambria Math" w:cs="Cambria Math"/>
          <w:color w:val="000000"/>
          <w:sz w:val="22"/>
          <w:szCs w:val="22"/>
        </w:rPr>
        <w:t>‐</w:t>
      </w:r>
      <w:r w:rsidRPr="00836587">
        <w:rPr>
          <w:color w:val="000000"/>
          <w:sz w:val="22"/>
          <w:szCs w:val="22"/>
        </w:rPr>
        <w:t>wide VOC emissions. Griffin will record the monthly and rolling 12</w:t>
      </w:r>
      <w:r w:rsidRPr="00836587">
        <w:rPr>
          <w:rFonts w:ascii="Cambria Math" w:hAnsi="Cambria Math" w:cs="Cambria Math"/>
          <w:color w:val="000000"/>
          <w:sz w:val="22"/>
          <w:szCs w:val="22"/>
        </w:rPr>
        <w:t>‐</w:t>
      </w:r>
      <w:r w:rsidRPr="00836587">
        <w:rPr>
          <w:color w:val="000000"/>
          <w:sz w:val="22"/>
          <w:szCs w:val="22"/>
        </w:rPr>
        <w:t>month facility</w:t>
      </w:r>
      <w:r w:rsidRPr="00836587">
        <w:rPr>
          <w:rFonts w:ascii="Cambria Math" w:hAnsi="Cambria Math" w:cs="Cambria Math"/>
          <w:color w:val="000000"/>
          <w:sz w:val="22"/>
          <w:szCs w:val="22"/>
        </w:rPr>
        <w:t>‐</w:t>
      </w:r>
      <w:r w:rsidRPr="00836587">
        <w:rPr>
          <w:color w:val="000000"/>
          <w:sz w:val="22"/>
          <w:szCs w:val="22"/>
        </w:rPr>
        <w:t>wide VOC</w:t>
      </w:r>
      <w:r>
        <w:rPr>
          <w:color w:val="000000"/>
          <w:sz w:val="22"/>
          <w:szCs w:val="22"/>
        </w:rPr>
        <w:t xml:space="preserve"> </w:t>
      </w:r>
      <w:r w:rsidRPr="00836587">
        <w:rPr>
          <w:color w:val="000000"/>
          <w:sz w:val="22"/>
          <w:szCs w:val="22"/>
        </w:rPr>
        <w:t xml:space="preserve">emissions to demonstrate compliance with the requested PSD synthetic minor limit. </w:t>
      </w:r>
      <w:r>
        <w:rPr>
          <w:color w:val="000000"/>
          <w:sz w:val="22"/>
          <w:szCs w:val="22"/>
        </w:rPr>
        <w:t xml:space="preserve"> Griffin proposed the following calculation for monthly and rolling 12-month facility wide VOC emissions:</w:t>
      </w:r>
    </w:p>
    <w:p w14:paraId="45F9B599" w14:textId="591C7C3F" w:rsidR="009D6463" w:rsidRDefault="009D6463" w:rsidP="009D6463">
      <w:pPr>
        <w:pStyle w:val="BodyText"/>
        <w:ind w:left="270"/>
        <w:rPr>
          <w:noProof/>
        </w:rPr>
      </w:pPr>
      <w:r>
        <w:rPr>
          <w:noProof/>
        </w:rPr>
        <w:drawing>
          <wp:inline distT="0" distB="0" distL="0" distR="0" wp14:anchorId="1B682844" wp14:editId="48372CEA">
            <wp:extent cx="5077964" cy="755650"/>
            <wp:effectExtent l="0" t="0" r="889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93328" cy="757936"/>
                    </a:xfrm>
                    <a:prstGeom prst="rect">
                      <a:avLst/>
                    </a:prstGeom>
                  </pic:spPr>
                </pic:pic>
              </a:graphicData>
            </a:graphic>
          </wp:inline>
        </w:drawing>
      </w:r>
      <w:r w:rsidRPr="009D6463">
        <w:rPr>
          <w:noProof/>
        </w:rPr>
        <w:t xml:space="preserve"> </w:t>
      </w:r>
      <w:r>
        <w:rPr>
          <w:noProof/>
        </w:rPr>
        <w:drawing>
          <wp:inline distT="0" distB="0" distL="0" distR="0" wp14:anchorId="1BFB1EA8" wp14:editId="120078C9">
            <wp:extent cx="3441940" cy="3556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95852" cy="361170"/>
                    </a:xfrm>
                    <a:prstGeom prst="rect">
                      <a:avLst/>
                    </a:prstGeom>
                  </pic:spPr>
                </pic:pic>
              </a:graphicData>
            </a:graphic>
          </wp:inline>
        </w:drawing>
      </w:r>
    </w:p>
    <w:p w14:paraId="0F392585" w14:textId="7F5D380A" w:rsidR="00EA1CB9" w:rsidRDefault="009D6463" w:rsidP="00EA1CB9">
      <w:pPr>
        <w:pStyle w:val="BodyText"/>
        <w:rPr>
          <w:noProof/>
        </w:rPr>
      </w:pPr>
      <w:r>
        <w:rPr>
          <w:noProof/>
        </w:rPr>
        <w:drawing>
          <wp:inline distT="0" distB="0" distL="0" distR="0" wp14:anchorId="1FEF6900" wp14:editId="47FDBD35">
            <wp:extent cx="5118100" cy="1282735"/>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15650" cy="1307184"/>
                    </a:xfrm>
                    <a:prstGeom prst="rect">
                      <a:avLst/>
                    </a:prstGeom>
                  </pic:spPr>
                </pic:pic>
              </a:graphicData>
            </a:graphic>
          </wp:inline>
        </w:drawing>
      </w:r>
    </w:p>
    <w:p w14:paraId="1BCE923B" w14:textId="78DF512C" w:rsidR="00EA1CB9" w:rsidRDefault="00EA1CB9" w:rsidP="00EA1CB9">
      <w:pPr>
        <w:pStyle w:val="BodyText"/>
        <w:ind w:left="270"/>
        <w:rPr>
          <w:color w:val="000000"/>
          <w:sz w:val="22"/>
          <w:szCs w:val="22"/>
        </w:rPr>
      </w:pPr>
      <w:r>
        <w:rPr>
          <w:noProof/>
        </w:rPr>
        <w:drawing>
          <wp:inline distT="0" distB="0" distL="0" distR="0" wp14:anchorId="2A39EF4F" wp14:editId="75943C60">
            <wp:extent cx="4915561" cy="815042"/>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991897" cy="827699"/>
                    </a:xfrm>
                    <a:prstGeom prst="rect">
                      <a:avLst/>
                    </a:prstGeom>
                  </pic:spPr>
                </pic:pic>
              </a:graphicData>
            </a:graphic>
          </wp:inline>
        </w:drawing>
      </w:r>
    </w:p>
    <w:p w14:paraId="1B029389" w14:textId="323A3035" w:rsidR="00836587" w:rsidRDefault="00271F68" w:rsidP="00271F68">
      <w:pPr>
        <w:pStyle w:val="BodyText"/>
        <w:ind w:left="270"/>
        <w:rPr>
          <w:color w:val="000000"/>
          <w:sz w:val="22"/>
          <w:szCs w:val="22"/>
        </w:rPr>
      </w:pPr>
      <w:r>
        <w:rPr>
          <w:noProof/>
        </w:rPr>
        <w:lastRenderedPageBreak/>
        <w:drawing>
          <wp:inline distT="0" distB="0" distL="0" distR="0" wp14:anchorId="7D583BEA" wp14:editId="6DDC2F50">
            <wp:extent cx="5311977" cy="1796481"/>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344187" cy="1807374"/>
                    </a:xfrm>
                    <a:prstGeom prst="rect">
                      <a:avLst/>
                    </a:prstGeom>
                  </pic:spPr>
                </pic:pic>
              </a:graphicData>
            </a:graphic>
          </wp:inline>
        </w:drawing>
      </w:r>
    </w:p>
    <w:p w14:paraId="2EC61C38" w14:textId="2C98A3F4" w:rsidR="007660CE" w:rsidRPr="00831B42" w:rsidRDefault="00FD4770" w:rsidP="00CA1844">
      <w:pPr>
        <w:pStyle w:val="BodyText"/>
        <w:rPr>
          <w:color w:val="000000"/>
          <w:sz w:val="22"/>
          <w:szCs w:val="22"/>
        </w:rPr>
      </w:pPr>
      <w:r w:rsidRPr="008B3CB9">
        <w:rPr>
          <w:sz w:val="22"/>
          <w:szCs w:val="22"/>
        </w:rPr>
        <w:t xml:space="preserve">In </w:t>
      </w:r>
      <w:r>
        <w:rPr>
          <w:sz w:val="22"/>
          <w:szCs w:val="22"/>
        </w:rPr>
        <w:t xml:space="preserve">the </w:t>
      </w:r>
      <w:r w:rsidRPr="008B3CB9">
        <w:rPr>
          <w:sz w:val="22"/>
          <w:szCs w:val="22"/>
        </w:rPr>
        <w:t xml:space="preserve">RAI response </w:t>
      </w:r>
      <w:r>
        <w:rPr>
          <w:sz w:val="22"/>
          <w:szCs w:val="22"/>
        </w:rPr>
        <w:t xml:space="preserve">dated </w:t>
      </w:r>
      <w:r w:rsidRPr="008B3CB9">
        <w:rPr>
          <w:sz w:val="22"/>
          <w:szCs w:val="22"/>
        </w:rPr>
        <w:t xml:space="preserve">September 14, 2015, Griffin provided the potential </w:t>
      </w:r>
      <w:r>
        <w:rPr>
          <w:sz w:val="22"/>
          <w:szCs w:val="22"/>
        </w:rPr>
        <w:t>HAP (n-hexane)</w:t>
      </w:r>
      <w:r w:rsidRPr="008B3CB9">
        <w:rPr>
          <w:sz w:val="22"/>
          <w:szCs w:val="22"/>
        </w:rPr>
        <w:t xml:space="preserve"> emissions </w:t>
      </w:r>
      <w:r>
        <w:rPr>
          <w:sz w:val="22"/>
          <w:szCs w:val="22"/>
        </w:rPr>
        <w:t xml:space="preserve">of 8.90 tons per year.  The discussion of how </w:t>
      </w:r>
      <w:r w:rsidR="00443B40">
        <w:rPr>
          <w:sz w:val="22"/>
          <w:szCs w:val="22"/>
        </w:rPr>
        <w:t xml:space="preserve">Griffin determined the potential HAP </w:t>
      </w:r>
      <w:r>
        <w:rPr>
          <w:sz w:val="22"/>
          <w:szCs w:val="22"/>
        </w:rPr>
        <w:t xml:space="preserve">emissions is in Section </w:t>
      </w:r>
      <w:r>
        <w:rPr>
          <w:b/>
          <w:sz w:val="22"/>
          <w:szCs w:val="22"/>
        </w:rPr>
        <w:t>3.3</w:t>
      </w:r>
      <w:r w:rsidR="00443B40">
        <w:rPr>
          <w:b/>
          <w:sz w:val="22"/>
          <w:szCs w:val="22"/>
        </w:rPr>
        <w:t xml:space="preserve"> </w:t>
      </w:r>
      <w:r w:rsidRPr="00A77CE1">
        <w:rPr>
          <w:b/>
          <w:sz w:val="22"/>
          <w:szCs w:val="22"/>
        </w:rPr>
        <w:t xml:space="preserve">HAP </w:t>
      </w:r>
      <w:r w:rsidRPr="00831B42">
        <w:rPr>
          <w:b/>
          <w:sz w:val="22"/>
          <w:szCs w:val="22"/>
        </w:rPr>
        <w:t>Synthetic Minor Source Classification of this document.</w:t>
      </w:r>
    </w:p>
    <w:p w14:paraId="614A703E" w14:textId="6E9654F1" w:rsidR="00FD4770" w:rsidRPr="00A77CE1" w:rsidRDefault="00EE0F1E" w:rsidP="00CA1844">
      <w:pPr>
        <w:pStyle w:val="BodyText"/>
        <w:rPr>
          <w:sz w:val="22"/>
          <w:szCs w:val="22"/>
        </w:rPr>
      </w:pPr>
      <w:r>
        <w:rPr>
          <w:sz w:val="22"/>
          <w:szCs w:val="22"/>
        </w:rPr>
        <w:t>It is noted that</w:t>
      </w:r>
      <w:r w:rsidR="00FD4770" w:rsidRPr="00A77CE1">
        <w:rPr>
          <w:sz w:val="22"/>
          <w:szCs w:val="22"/>
        </w:rPr>
        <w:t xml:space="preserve"> </w:t>
      </w:r>
      <w:r w:rsidR="006523BD" w:rsidRPr="00A77CE1">
        <w:rPr>
          <w:sz w:val="22"/>
          <w:szCs w:val="22"/>
        </w:rPr>
        <w:t xml:space="preserve">the resulting </w:t>
      </w:r>
      <w:r w:rsidR="007660CE" w:rsidRPr="00A77CE1">
        <w:rPr>
          <w:sz w:val="22"/>
          <w:szCs w:val="22"/>
        </w:rPr>
        <w:t xml:space="preserve">VOC emissions </w:t>
      </w:r>
      <w:r w:rsidR="00157D46">
        <w:rPr>
          <w:sz w:val="22"/>
          <w:szCs w:val="22"/>
        </w:rPr>
        <w:t>will be</w:t>
      </w:r>
      <w:r w:rsidR="007660CE" w:rsidRPr="00A77CE1">
        <w:rPr>
          <w:sz w:val="22"/>
          <w:szCs w:val="22"/>
        </w:rPr>
        <w:t xml:space="preserve"> 356.0 tons per year</w:t>
      </w:r>
      <w:r w:rsidR="00FD4770" w:rsidRPr="00A77CE1">
        <w:rPr>
          <w:rStyle w:val="FootnoteReference"/>
          <w:sz w:val="22"/>
          <w:szCs w:val="22"/>
        </w:rPr>
        <w:footnoteReference w:id="1"/>
      </w:r>
      <w:r w:rsidR="007660CE" w:rsidRPr="00A77CE1">
        <w:rPr>
          <w:sz w:val="22"/>
          <w:szCs w:val="22"/>
        </w:rPr>
        <w:t xml:space="preserve">.  </w:t>
      </w:r>
      <w:r w:rsidR="00FD4770" w:rsidRPr="00A77CE1">
        <w:rPr>
          <w:sz w:val="22"/>
          <w:szCs w:val="22"/>
        </w:rPr>
        <w:t xml:space="preserve">Griffin has presented in the submitted application, and </w:t>
      </w:r>
      <w:r w:rsidR="00FC17CD">
        <w:rPr>
          <w:sz w:val="22"/>
          <w:szCs w:val="22"/>
        </w:rPr>
        <w:t xml:space="preserve">it is </w:t>
      </w:r>
      <w:r w:rsidR="00FD4770" w:rsidRPr="00A77CE1">
        <w:rPr>
          <w:sz w:val="22"/>
          <w:szCs w:val="22"/>
        </w:rPr>
        <w:t xml:space="preserve">restated in </w:t>
      </w:r>
      <w:r w:rsidR="00FD4770" w:rsidRPr="00A77CE1">
        <w:rPr>
          <w:b/>
          <w:sz w:val="22"/>
          <w:szCs w:val="22"/>
        </w:rPr>
        <w:t>Table</w:t>
      </w:r>
      <w:r w:rsidR="00FD4770" w:rsidRPr="00A77CE1">
        <w:rPr>
          <w:sz w:val="22"/>
          <w:szCs w:val="22"/>
        </w:rPr>
        <w:t xml:space="preserve"> </w:t>
      </w:r>
      <w:r w:rsidR="000B1252" w:rsidRPr="000B1252">
        <w:rPr>
          <w:b/>
          <w:sz w:val="22"/>
          <w:szCs w:val="22"/>
        </w:rPr>
        <w:t>F</w:t>
      </w:r>
      <w:r w:rsidR="000B1252">
        <w:rPr>
          <w:sz w:val="22"/>
          <w:szCs w:val="22"/>
        </w:rPr>
        <w:t xml:space="preserve"> </w:t>
      </w:r>
      <w:r w:rsidR="00FD4770" w:rsidRPr="00A77CE1">
        <w:rPr>
          <w:sz w:val="22"/>
          <w:szCs w:val="22"/>
        </w:rPr>
        <w:t xml:space="preserve">below, that potential VOC emissions from the SPN Fines Extraction Process will be </w:t>
      </w:r>
      <w:r w:rsidR="00FC17CD">
        <w:rPr>
          <w:sz w:val="22"/>
          <w:szCs w:val="22"/>
        </w:rPr>
        <w:t>restricted</w:t>
      </w:r>
      <w:r w:rsidR="00FD4770" w:rsidRPr="00A77CE1">
        <w:rPr>
          <w:sz w:val="22"/>
          <w:szCs w:val="22"/>
        </w:rPr>
        <w:t xml:space="preserve"> to no more than 23</w:t>
      </w:r>
      <w:r w:rsidR="00831B42" w:rsidRPr="00A77CE1">
        <w:rPr>
          <w:sz w:val="22"/>
          <w:szCs w:val="22"/>
        </w:rPr>
        <w:t>3</w:t>
      </w:r>
      <w:r w:rsidR="00FD4770" w:rsidRPr="00A77CE1">
        <w:rPr>
          <w:sz w:val="22"/>
          <w:szCs w:val="22"/>
        </w:rPr>
        <w:t xml:space="preserve">.25 tons per year. </w:t>
      </w:r>
    </w:p>
    <w:p w14:paraId="01356012" w14:textId="1354A02A" w:rsidR="007660CE" w:rsidRPr="00831B42" w:rsidRDefault="00EE0F1E" w:rsidP="00CA1844">
      <w:pPr>
        <w:pStyle w:val="BodyText"/>
        <w:rPr>
          <w:sz w:val="22"/>
          <w:szCs w:val="22"/>
        </w:rPr>
      </w:pPr>
      <w:r>
        <w:rPr>
          <w:sz w:val="22"/>
          <w:szCs w:val="22"/>
        </w:rPr>
        <w:t>It</w:t>
      </w:r>
      <w:r w:rsidR="006523BD" w:rsidRPr="00A77CE1">
        <w:rPr>
          <w:sz w:val="22"/>
          <w:szCs w:val="22"/>
        </w:rPr>
        <w:t xml:space="preserve"> appears that the facility must either reduce the average solvent loss to less than 5.89 gallons/ton of SPN Fines feed, and/or operate at a SPN fines feed rate less than 60 tons per day, and/or operate </w:t>
      </w:r>
      <w:r w:rsidR="002A2578">
        <w:rPr>
          <w:sz w:val="22"/>
          <w:szCs w:val="22"/>
        </w:rPr>
        <w:t xml:space="preserve">the SPN Fines Solvent Extraction Process for </w:t>
      </w:r>
      <w:r w:rsidR="006523BD" w:rsidRPr="00A77CE1">
        <w:rPr>
          <w:sz w:val="22"/>
          <w:szCs w:val="22"/>
        </w:rPr>
        <w:t>less than 365 days per year i</w:t>
      </w:r>
      <w:r w:rsidR="007660CE" w:rsidRPr="00A77CE1">
        <w:rPr>
          <w:sz w:val="22"/>
          <w:szCs w:val="22"/>
        </w:rPr>
        <w:t xml:space="preserve">n order </w:t>
      </w:r>
      <w:r w:rsidR="006523BD" w:rsidRPr="00A77CE1">
        <w:rPr>
          <w:sz w:val="22"/>
          <w:szCs w:val="22"/>
        </w:rPr>
        <w:t xml:space="preserve">for the facility </w:t>
      </w:r>
      <w:r w:rsidR="007660CE" w:rsidRPr="00A77CE1">
        <w:rPr>
          <w:sz w:val="22"/>
          <w:szCs w:val="22"/>
        </w:rPr>
        <w:t xml:space="preserve">to achieve the stated 233.25 tons per year potential emissions </w:t>
      </w:r>
      <w:r w:rsidR="006523BD" w:rsidRPr="00A77CE1">
        <w:rPr>
          <w:sz w:val="22"/>
          <w:szCs w:val="22"/>
        </w:rPr>
        <w:t>from</w:t>
      </w:r>
      <w:r w:rsidR="007660CE" w:rsidRPr="00A77CE1">
        <w:rPr>
          <w:sz w:val="22"/>
          <w:szCs w:val="22"/>
        </w:rPr>
        <w:t xml:space="preserve"> the SPN Fines solvent extraction process</w:t>
      </w:r>
      <w:r w:rsidR="00831B42" w:rsidRPr="00A77CE1">
        <w:rPr>
          <w:sz w:val="22"/>
          <w:szCs w:val="22"/>
        </w:rPr>
        <w:t>.</w:t>
      </w:r>
    </w:p>
    <w:p w14:paraId="42521968" w14:textId="7BDB4F77" w:rsidR="00831B42" w:rsidRPr="00B75FF1" w:rsidRDefault="00831B42" w:rsidP="00CA1844">
      <w:pPr>
        <w:pStyle w:val="BodyText"/>
        <w:rPr>
          <w:color w:val="000000"/>
          <w:sz w:val="22"/>
          <w:szCs w:val="22"/>
        </w:rPr>
      </w:pPr>
      <w:r w:rsidRPr="00B75FF1">
        <w:rPr>
          <w:sz w:val="22"/>
          <w:szCs w:val="22"/>
        </w:rPr>
        <w:t>Potential VOC Emissions from SPN Fines Solvent Extraction Process</w:t>
      </w:r>
      <w:r w:rsidR="00D70F2E" w:rsidRPr="00B75FF1">
        <w:rPr>
          <w:sz w:val="22"/>
          <w:szCs w:val="22"/>
        </w:rPr>
        <w:t xml:space="preserve"> (tpy) </w:t>
      </w:r>
      <w:r w:rsidRPr="00B75FF1">
        <w:rPr>
          <w:sz w:val="22"/>
          <w:szCs w:val="22"/>
        </w:rPr>
        <w:t>= SPN Fines Feed Rate (tons/day) x Average Solvent Loss (gallons/ton</w:t>
      </w:r>
      <w:r w:rsidR="00D70F2E" w:rsidRPr="00B75FF1">
        <w:rPr>
          <w:sz w:val="22"/>
          <w:szCs w:val="22"/>
        </w:rPr>
        <w:t xml:space="preserve"> of SPN Fines Feed</w:t>
      </w:r>
      <w:r w:rsidRPr="00B75FF1">
        <w:rPr>
          <w:sz w:val="22"/>
          <w:szCs w:val="22"/>
        </w:rPr>
        <w:t>) x Density of Solvent (lb/gallon) x SPN Fine Operation (days/year) x 1 ton</w:t>
      </w:r>
      <w:r w:rsidR="00D70F2E" w:rsidRPr="00B75FF1">
        <w:rPr>
          <w:sz w:val="22"/>
          <w:szCs w:val="22"/>
        </w:rPr>
        <w:t xml:space="preserve"> VOC</w:t>
      </w:r>
      <w:r w:rsidRPr="00B75FF1">
        <w:rPr>
          <w:sz w:val="22"/>
          <w:szCs w:val="22"/>
        </w:rPr>
        <w:t>/ 2000 pounds</w:t>
      </w:r>
      <w:r w:rsidR="00D70F2E" w:rsidRPr="00B75FF1">
        <w:rPr>
          <w:sz w:val="22"/>
          <w:szCs w:val="22"/>
        </w:rPr>
        <w:t xml:space="preserve"> VOC</w:t>
      </w:r>
    </w:p>
    <w:p w14:paraId="4E6057F5" w14:textId="77777777" w:rsidR="00634BB8" w:rsidRDefault="00D70F2E" w:rsidP="00A41915">
      <w:pPr>
        <w:autoSpaceDE w:val="0"/>
        <w:autoSpaceDN w:val="0"/>
        <w:adjustRightInd w:val="0"/>
        <w:spacing w:after="120"/>
        <w:rPr>
          <w:sz w:val="22"/>
          <w:szCs w:val="22"/>
        </w:rPr>
      </w:pPr>
      <w:r w:rsidRPr="00B75FF1">
        <w:rPr>
          <w:b/>
          <w:sz w:val="22"/>
          <w:szCs w:val="22"/>
        </w:rPr>
        <w:t xml:space="preserve">Potential VOC Emissions from SPN Fines Solvent Extraction Process </w:t>
      </w:r>
      <w:r w:rsidRPr="00B75FF1">
        <w:rPr>
          <w:sz w:val="22"/>
          <w:szCs w:val="22"/>
        </w:rPr>
        <w:t>= 60 tons SPN Fines Feed/day x 5.89 gallons/ton of SPN Fines Feed (avg solvent loss) x 5.52 lbs/gallon x 365 days/yr x 1 ton VOC /2000 lbs VOC</w:t>
      </w:r>
    </w:p>
    <w:p w14:paraId="0698CB91" w14:textId="6868666B" w:rsidR="007660CE" w:rsidRPr="00B75FF1" w:rsidRDefault="00D70F2E" w:rsidP="00A41915">
      <w:pPr>
        <w:autoSpaceDE w:val="0"/>
        <w:autoSpaceDN w:val="0"/>
        <w:adjustRightInd w:val="0"/>
        <w:spacing w:after="120"/>
        <w:rPr>
          <w:sz w:val="22"/>
          <w:szCs w:val="22"/>
        </w:rPr>
      </w:pPr>
      <w:r w:rsidRPr="00634BB8">
        <w:rPr>
          <w:b/>
          <w:sz w:val="22"/>
          <w:szCs w:val="22"/>
        </w:rPr>
        <w:t>=</w:t>
      </w:r>
      <w:r w:rsidRPr="00B75FF1">
        <w:rPr>
          <w:sz w:val="22"/>
          <w:szCs w:val="22"/>
        </w:rPr>
        <w:t xml:space="preserve"> </w:t>
      </w:r>
      <w:r w:rsidRPr="00B75FF1">
        <w:rPr>
          <w:b/>
          <w:sz w:val="22"/>
          <w:szCs w:val="22"/>
        </w:rPr>
        <w:t>356.0 tons VOC/year</w:t>
      </w:r>
    </w:p>
    <w:p w14:paraId="6AB36BDD" w14:textId="48B5A563" w:rsidR="00D70F2E" w:rsidRPr="00B75FF1" w:rsidRDefault="00D70F2E" w:rsidP="00A41915">
      <w:pPr>
        <w:autoSpaceDE w:val="0"/>
        <w:autoSpaceDN w:val="0"/>
        <w:adjustRightInd w:val="0"/>
        <w:spacing w:after="120"/>
        <w:rPr>
          <w:sz w:val="22"/>
          <w:szCs w:val="22"/>
        </w:rPr>
      </w:pPr>
      <w:r w:rsidRPr="00B75FF1">
        <w:rPr>
          <w:b/>
          <w:sz w:val="22"/>
          <w:szCs w:val="22"/>
        </w:rPr>
        <w:t>Potential VOC Emissions from SPN Fines Solvent Extraction Process =</w:t>
      </w:r>
      <w:r w:rsidRPr="00B75FF1">
        <w:rPr>
          <w:sz w:val="22"/>
          <w:szCs w:val="22"/>
        </w:rPr>
        <w:t xml:space="preserve"> </w:t>
      </w:r>
      <w:r w:rsidRPr="00B75FF1">
        <w:rPr>
          <w:b/>
          <w:sz w:val="22"/>
          <w:szCs w:val="22"/>
        </w:rPr>
        <w:t>233.25 TPY</w:t>
      </w:r>
      <w:r w:rsidRPr="00B75FF1">
        <w:rPr>
          <w:sz w:val="22"/>
          <w:szCs w:val="22"/>
        </w:rPr>
        <w:t xml:space="preserve"> = </w:t>
      </w:r>
      <w:r w:rsidRPr="00B75FF1">
        <w:rPr>
          <w:b/>
          <w:sz w:val="22"/>
          <w:szCs w:val="22"/>
        </w:rPr>
        <w:t>X tons SPN Fines</w:t>
      </w:r>
      <w:r w:rsidRPr="00B75FF1">
        <w:rPr>
          <w:sz w:val="22"/>
          <w:szCs w:val="22"/>
        </w:rPr>
        <w:t xml:space="preserve"> </w:t>
      </w:r>
      <w:r w:rsidRPr="00B75FF1">
        <w:rPr>
          <w:b/>
          <w:sz w:val="22"/>
          <w:szCs w:val="22"/>
        </w:rPr>
        <w:t>Feed/day</w:t>
      </w:r>
      <w:r w:rsidRPr="00B75FF1">
        <w:rPr>
          <w:sz w:val="22"/>
          <w:szCs w:val="22"/>
        </w:rPr>
        <w:t xml:space="preserve"> x 5.89 gallons/ton of SPN Fines Feed (avg solvent loss) x 5.52 lbs/gallon x 365 days/yr x 1 ton VOC /2000 lbs VOC Feed/day </w:t>
      </w:r>
    </w:p>
    <w:p w14:paraId="6010D12F" w14:textId="2870F3B6" w:rsidR="00D70F2E" w:rsidRPr="00B75FF1" w:rsidRDefault="00D70F2E" w:rsidP="00A41915">
      <w:pPr>
        <w:autoSpaceDE w:val="0"/>
        <w:autoSpaceDN w:val="0"/>
        <w:adjustRightInd w:val="0"/>
        <w:spacing w:after="120"/>
        <w:rPr>
          <w:b/>
          <w:sz w:val="22"/>
          <w:szCs w:val="22"/>
        </w:rPr>
      </w:pPr>
      <w:r w:rsidRPr="00B75FF1">
        <w:rPr>
          <w:b/>
          <w:sz w:val="22"/>
          <w:szCs w:val="22"/>
        </w:rPr>
        <w:t>= 39.</w:t>
      </w:r>
      <w:r w:rsidR="00DF3432" w:rsidRPr="00B75FF1">
        <w:rPr>
          <w:b/>
          <w:sz w:val="22"/>
          <w:szCs w:val="22"/>
        </w:rPr>
        <w:t>3</w:t>
      </w:r>
      <w:r w:rsidRPr="00B75FF1">
        <w:rPr>
          <w:b/>
          <w:sz w:val="22"/>
          <w:szCs w:val="22"/>
        </w:rPr>
        <w:t xml:space="preserve"> tons of SPN Fines </w:t>
      </w:r>
      <w:r w:rsidR="00DF3432" w:rsidRPr="00B75FF1">
        <w:rPr>
          <w:b/>
          <w:sz w:val="22"/>
          <w:szCs w:val="22"/>
        </w:rPr>
        <w:t>F</w:t>
      </w:r>
      <w:r w:rsidRPr="00B75FF1">
        <w:rPr>
          <w:b/>
          <w:sz w:val="22"/>
          <w:szCs w:val="22"/>
        </w:rPr>
        <w:t>eed/day</w:t>
      </w:r>
    </w:p>
    <w:p w14:paraId="011E288D" w14:textId="7F341A3B" w:rsidR="00D70F2E" w:rsidRPr="00B75FF1" w:rsidRDefault="00D70F2E" w:rsidP="00D70F2E">
      <w:pPr>
        <w:autoSpaceDE w:val="0"/>
        <w:autoSpaceDN w:val="0"/>
        <w:adjustRightInd w:val="0"/>
        <w:spacing w:after="120"/>
        <w:rPr>
          <w:sz w:val="22"/>
          <w:szCs w:val="22"/>
        </w:rPr>
      </w:pPr>
      <w:r w:rsidRPr="00B75FF1">
        <w:rPr>
          <w:b/>
          <w:sz w:val="22"/>
          <w:szCs w:val="22"/>
        </w:rPr>
        <w:t>Potential VOC Emissions from SPN Fines Solvent Extraction Process = 233.25 TPY</w:t>
      </w:r>
      <w:r w:rsidRPr="00B75FF1">
        <w:rPr>
          <w:sz w:val="22"/>
          <w:szCs w:val="22"/>
        </w:rPr>
        <w:t xml:space="preserve"> = 60 tons SPN Fines Feed/day x </w:t>
      </w:r>
      <w:r w:rsidRPr="00B75FF1">
        <w:rPr>
          <w:b/>
          <w:sz w:val="22"/>
          <w:szCs w:val="22"/>
        </w:rPr>
        <w:t>Y gallons/ton of SPN Fines Feed (avg solvent loss)</w:t>
      </w:r>
      <w:r w:rsidRPr="00B75FF1">
        <w:rPr>
          <w:sz w:val="22"/>
          <w:szCs w:val="22"/>
        </w:rPr>
        <w:t xml:space="preserve"> x 5.52 lbs/gallon x 365 days/yr x 1 ton VOC /2000 lbs VOC Feed/day </w:t>
      </w:r>
    </w:p>
    <w:p w14:paraId="7B96ADEA" w14:textId="67846F08" w:rsidR="00D70F2E" w:rsidRPr="00B75FF1" w:rsidRDefault="000A467B" w:rsidP="00A41915">
      <w:pPr>
        <w:autoSpaceDE w:val="0"/>
        <w:autoSpaceDN w:val="0"/>
        <w:adjustRightInd w:val="0"/>
        <w:spacing w:after="120"/>
        <w:rPr>
          <w:b/>
          <w:sz w:val="22"/>
          <w:szCs w:val="22"/>
        </w:rPr>
      </w:pPr>
      <w:r w:rsidRPr="00B75FF1">
        <w:rPr>
          <w:b/>
          <w:sz w:val="22"/>
          <w:szCs w:val="22"/>
        </w:rPr>
        <w:t>= 3.85 gallons/ton of SPN Fines Feed (avg solvent loss)</w:t>
      </w:r>
    </w:p>
    <w:p w14:paraId="28DFA143" w14:textId="33CE1E0B" w:rsidR="000A467B" w:rsidRPr="00B75FF1" w:rsidRDefault="000A467B" w:rsidP="000A467B">
      <w:pPr>
        <w:autoSpaceDE w:val="0"/>
        <w:autoSpaceDN w:val="0"/>
        <w:adjustRightInd w:val="0"/>
        <w:spacing w:after="120"/>
        <w:rPr>
          <w:sz w:val="22"/>
          <w:szCs w:val="22"/>
        </w:rPr>
      </w:pPr>
      <w:r w:rsidRPr="00B75FF1">
        <w:rPr>
          <w:b/>
          <w:sz w:val="22"/>
          <w:szCs w:val="22"/>
        </w:rPr>
        <w:t>Potential VOC Emissions from SPN Fines Solvent Extraction Process = 233.25 TPY</w:t>
      </w:r>
      <w:r w:rsidRPr="00B75FF1">
        <w:rPr>
          <w:sz w:val="22"/>
          <w:szCs w:val="22"/>
        </w:rPr>
        <w:t xml:space="preserve"> = 60 tons SPN Fines Feed/day x 5.89 gallons/ton of SPN Fines Feed (avg solvent loss) x 5.52 lbs/gallon x </w:t>
      </w:r>
      <w:r w:rsidRPr="00B75FF1">
        <w:rPr>
          <w:b/>
          <w:sz w:val="22"/>
          <w:szCs w:val="22"/>
        </w:rPr>
        <w:t>Z days/yr</w:t>
      </w:r>
      <w:r w:rsidRPr="00B75FF1">
        <w:rPr>
          <w:sz w:val="22"/>
          <w:szCs w:val="22"/>
        </w:rPr>
        <w:t xml:space="preserve"> x 1 ton VOC /2000 lbs VOC Feed/day </w:t>
      </w:r>
    </w:p>
    <w:p w14:paraId="3DC13C7B" w14:textId="282F588E" w:rsidR="000A467B" w:rsidRPr="00B75FF1" w:rsidRDefault="000A467B" w:rsidP="000A467B">
      <w:pPr>
        <w:autoSpaceDE w:val="0"/>
        <w:autoSpaceDN w:val="0"/>
        <w:adjustRightInd w:val="0"/>
        <w:spacing w:after="120"/>
        <w:rPr>
          <w:b/>
          <w:sz w:val="22"/>
          <w:szCs w:val="22"/>
        </w:rPr>
      </w:pPr>
      <w:r w:rsidRPr="00B75FF1">
        <w:rPr>
          <w:b/>
          <w:sz w:val="22"/>
          <w:szCs w:val="22"/>
        </w:rPr>
        <w:t>= 239 days/year</w:t>
      </w:r>
    </w:p>
    <w:p w14:paraId="4DEDFAF4" w14:textId="0452A2E0" w:rsidR="000A467B" w:rsidRPr="00F20CB9" w:rsidRDefault="00EE0F1E" w:rsidP="00F20CB9">
      <w:pPr>
        <w:autoSpaceDE w:val="0"/>
        <w:autoSpaceDN w:val="0"/>
        <w:adjustRightInd w:val="0"/>
        <w:spacing w:after="120"/>
        <w:rPr>
          <w:color w:val="FF0000"/>
          <w:sz w:val="22"/>
          <w:szCs w:val="22"/>
        </w:rPr>
      </w:pPr>
      <w:r>
        <w:rPr>
          <w:sz w:val="22"/>
          <w:szCs w:val="22"/>
        </w:rPr>
        <w:lastRenderedPageBreak/>
        <w:t>Therefore,</w:t>
      </w:r>
      <w:r w:rsidR="008338FC">
        <w:rPr>
          <w:sz w:val="22"/>
          <w:szCs w:val="22"/>
        </w:rPr>
        <w:t xml:space="preserve"> </w:t>
      </w:r>
      <w:r w:rsidR="005A5965">
        <w:rPr>
          <w:sz w:val="22"/>
          <w:szCs w:val="22"/>
        </w:rPr>
        <w:t xml:space="preserve">in this draft construction permit </w:t>
      </w:r>
      <w:r w:rsidR="008338FC">
        <w:rPr>
          <w:sz w:val="22"/>
          <w:szCs w:val="22"/>
        </w:rPr>
        <w:t>additional operating restriction</w:t>
      </w:r>
      <w:r w:rsidR="0018469C">
        <w:rPr>
          <w:sz w:val="22"/>
          <w:szCs w:val="22"/>
        </w:rPr>
        <w:t>s</w:t>
      </w:r>
      <w:r w:rsidR="008338FC">
        <w:rPr>
          <w:sz w:val="22"/>
          <w:szCs w:val="22"/>
        </w:rPr>
        <w:t xml:space="preserve"> </w:t>
      </w:r>
      <w:r w:rsidR="005A5965">
        <w:rPr>
          <w:sz w:val="22"/>
          <w:szCs w:val="22"/>
        </w:rPr>
        <w:t>for</w:t>
      </w:r>
      <w:r w:rsidR="008338FC">
        <w:rPr>
          <w:sz w:val="22"/>
          <w:szCs w:val="22"/>
        </w:rPr>
        <w:t xml:space="preserve"> the SPN Fines Solvent Extraction Process (EU 016)</w:t>
      </w:r>
      <w:r>
        <w:rPr>
          <w:sz w:val="22"/>
          <w:szCs w:val="22"/>
        </w:rPr>
        <w:t xml:space="preserve"> are being established</w:t>
      </w:r>
      <w:r w:rsidR="00E70FF8">
        <w:rPr>
          <w:sz w:val="22"/>
          <w:szCs w:val="22"/>
        </w:rPr>
        <w:t>.</w:t>
      </w:r>
      <w:r w:rsidR="0018469C">
        <w:rPr>
          <w:sz w:val="22"/>
          <w:szCs w:val="22"/>
        </w:rPr>
        <w:t xml:space="preserve"> </w:t>
      </w:r>
      <w:r w:rsidR="00E70FF8">
        <w:rPr>
          <w:sz w:val="22"/>
          <w:szCs w:val="22"/>
        </w:rPr>
        <w:t xml:space="preserve"> Refer to </w:t>
      </w:r>
      <w:r w:rsidR="008338FC" w:rsidRPr="008338FC">
        <w:rPr>
          <w:b/>
          <w:sz w:val="22"/>
          <w:szCs w:val="22"/>
        </w:rPr>
        <w:t>Section 5.0 Emissions Controls and Operating Restrictions</w:t>
      </w:r>
      <w:r w:rsidR="008338FC">
        <w:rPr>
          <w:sz w:val="22"/>
          <w:szCs w:val="22"/>
        </w:rPr>
        <w:t xml:space="preserve"> of this document.</w:t>
      </w:r>
      <w:r w:rsidR="00F20CB9">
        <w:rPr>
          <w:sz w:val="22"/>
          <w:szCs w:val="22"/>
        </w:rPr>
        <w:t xml:space="preserve">  </w:t>
      </w:r>
      <w:r w:rsidR="00F20CB9" w:rsidRPr="00492BD4">
        <w:rPr>
          <w:sz w:val="22"/>
          <w:szCs w:val="22"/>
        </w:rPr>
        <w:t xml:space="preserve">These operating restrictions </w:t>
      </w:r>
      <w:r w:rsidR="00FC750B">
        <w:rPr>
          <w:sz w:val="22"/>
          <w:szCs w:val="22"/>
        </w:rPr>
        <w:t xml:space="preserve">are </w:t>
      </w:r>
      <w:r w:rsidR="00F20CB9" w:rsidRPr="00492BD4">
        <w:rPr>
          <w:sz w:val="22"/>
          <w:szCs w:val="22"/>
        </w:rPr>
        <w:t>in addition to the requested PSD synthetic minor emissions limit of 249 tons/rolling</w:t>
      </w:r>
      <w:r w:rsidR="00F20CB9" w:rsidRPr="00492BD4">
        <w:rPr>
          <w:rFonts w:ascii="Cambria Math" w:hAnsi="Cambria Math" w:cs="Cambria Math"/>
          <w:sz w:val="22"/>
          <w:szCs w:val="22"/>
        </w:rPr>
        <w:t>‐</w:t>
      </w:r>
      <w:r w:rsidR="00F20CB9" w:rsidRPr="00492BD4">
        <w:rPr>
          <w:sz w:val="22"/>
          <w:szCs w:val="22"/>
        </w:rPr>
        <w:t>12 month period of facility</w:t>
      </w:r>
      <w:r w:rsidR="00F20CB9" w:rsidRPr="00492BD4">
        <w:rPr>
          <w:rFonts w:ascii="Cambria Math" w:hAnsi="Cambria Math" w:cs="Cambria Math"/>
          <w:sz w:val="22"/>
          <w:szCs w:val="22"/>
        </w:rPr>
        <w:t>‐</w:t>
      </w:r>
      <w:r w:rsidR="00F20CB9" w:rsidRPr="00492BD4">
        <w:rPr>
          <w:sz w:val="22"/>
          <w:szCs w:val="22"/>
        </w:rPr>
        <w:t xml:space="preserve">wide VOC emissions </w:t>
      </w:r>
      <w:r w:rsidR="00FC750B">
        <w:rPr>
          <w:sz w:val="22"/>
          <w:szCs w:val="22"/>
        </w:rPr>
        <w:t xml:space="preserve">and </w:t>
      </w:r>
      <w:r w:rsidR="00F20CB9" w:rsidRPr="00492BD4">
        <w:rPr>
          <w:sz w:val="22"/>
          <w:szCs w:val="22"/>
        </w:rPr>
        <w:t xml:space="preserve">will be subject to Rule 62-212.400(12)(b), F.A.C. – Source Obligation Rule.  Should at any time the facility wishes to modify the SPN Fines Solvent Extraction Process such that there is an resulting increase in the potential VOC emissions </w:t>
      </w:r>
      <w:r w:rsidR="00D66D80">
        <w:rPr>
          <w:sz w:val="22"/>
          <w:szCs w:val="22"/>
        </w:rPr>
        <w:t>that causes the</w:t>
      </w:r>
      <w:r w:rsidR="00F20CB9" w:rsidRPr="00492BD4">
        <w:rPr>
          <w:sz w:val="22"/>
          <w:szCs w:val="22"/>
        </w:rPr>
        <w:t xml:space="preserve"> facility-wide VOC emissions </w:t>
      </w:r>
      <w:r w:rsidR="00D66D80">
        <w:rPr>
          <w:sz w:val="22"/>
          <w:szCs w:val="22"/>
        </w:rPr>
        <w:t xml:space="preserve">to be </w:t>
      </w:r>
      <w:r w:rsidR="00F20CB9" w:rsidRPr="00492BD4">
        <w:rPr>
          <w:sz w:val="22"/>
          <w:szCs w:val="22"/>
        </w:rPr>
        <w:t xml:space="preserve">greater than 249 tons/rolling 12-month period, then the requirements of Rules 62-212.400(4) through (12), F.A.C., </w:t>
      </w:r>
      <w:r w:rsidR="00E53894" w:rsidRPr="00492BD4">
        <w:rPr>
          <w:sz w:val="22"/>
          <w:szCs w:val="22"/>
        </w:rPr>
        <w:t>will</w:t>
      </w:r>
      <w:r w:rsidR="00F20CB9" w:rsidRPr="00492BD4">
        <w:rPr>
          <w:sz w:val="22"/>
          <w:szCs w:val="22"/>
        </w:rPr>
        <w:t xml:space="preserve"> apply to </w:t>
      </w:r>
      <w:r w:rsidR="00D66D80">
        <w:rPr>
          <w:sz w:val="22"/>
          <w:szCs w:val="22"/>
        </w:rPr>
        <w:t xml:space="preserve">the </w:t>
      </w:r>
      <w:r w:rsidR="00F20CB9" w:rsidRPr="00492BD4">
        <w:rPr>
          <w:sz w:val="22"/>
          <w:szCs w:val="22"/>
        </w:rPr>
        <w:t xml:space="preserve">SPN Fines Solvent Extraction Process as though construction had not yet commenced </w:t>
      </w:r>
      <w:r w:rsidR="00E53894" w:rsidRPr="00492BD4">
        <w:rPr>
          <w:sz w:val="22"/>
          <w:szCs w:val="22"/>
        </w:rPr>
        <w:t>on the SPN Fines Solvent Extraction Process</w:t>
      </w:r>
      <w:r w:rsidR="00F20CB9" w:rsidRPr="00492BD4">
        <w:rPr>
          <w:sz w:val="22"/>
          <w:szCs w:val="22"/>
        </w:rPr>
        <w:t>.</w:t>
      </w:r>
    </w:p>
    <w:p w14:paraId="0472FDFC" w14:textId="56C6CC69" w:rsidR="0036695C" w:rsidRPr="009C24DE" w:rsidRDefault="00EA61D0" w:rsidP="00A41915">
      <w:pPr>
        <w:autoSpaceDE w:val="0"/>
        <w:autoSpaceDN w:val="0"/>
        <w:adjustRightInd w:val="0"/>
        <w:spacing w:after="120"/>
        <w:rPr>
          <w:sz w:val="22"/>
          <w:szCs w:val="22"/>
        </w:rPr>
      </w:pPr>
      <w:r w:rsidRPr="009C24DE">
        <w:rPr>
          <w:color w:val="000000"/>
          <w:sz w:val="22"/>
          <w:szCs w:val="22"/>
        </w:rPr>
        <w:t xml:space="preserve">Griffin is </w:t>
      </w:r>
      <w:r w:rsidR="00E72385">
        <w:rPr>
          <w:color w:val="000000"/>
          <w:sz w:val="22"/>
          <w:szCs w:val="22"/>
        </w:rPr>
        <w:t xml:space="preserve">also </w:t>
      </w:r>
      <w:r w:rsidRPr="009C24DE">
        <w:rPr>
          <w:color w:val="000000"/>
          <w:sz w:val="22"/>
          <w:szCs w:val="22"/>
        </w:rPr>
        <w:t xml:space="preserve">requesting in this construction permit application, </w:t>
      </w:r>
      <w:r w:rsidRPr="009C24DE">
        <w:rPr>
          <w:sz w:val="22"/>
          <w:szCs w:val="22"/>
        </w:rPr>
        <w:t>an updated emissions calculation methodology for the inedible animal by</w:t>
      </w:r>
      <w:r w:rsidRPr="009C24DE">
        <w:rPr>
          <w:rFonts w:ascii="Cambria Math" w:hAnsi="Cambria Math" w:cs="Cambria Math"/>
          <w:sz w:val="22"/>
          <w:szCs w:val="22"/>
        </w:rPr>
        <w:t>‐</w:t>
      </w:r>
      <w:r w:rsidRPr="009C24DE">
        <w:rPr>
          <w:sz w:val="22"/>
          <w:szCs w:val="22"/>
        </w:rPr>
        <w:t>products protein conversion process lines (EU</w:t>
      </w:r>
      <w:r w:rsidR="000E749E">
        <w:rPr>
          <w:sz w:val="22"/>
          <w:szCs w:val="22"/>
        </w:rPr>
        <w:t xml:space="preserve"> </w:t>
      </w:r>
      <w:r w:rsidRPr="009C24DE">
        <w:rPr>
          <w:sz w:val="22"/>
          <w:szCs w:val="22"/>
        </w:rPr>
        <w:t>014 and EU</w:t>
      </w:r>
      <w:r w:rsidR="000E749E">
        <w:rPr>
          <w:sz w:val="22"/>
          <w:szCs w:val="22"/>
        </w:rPr>
        <w:t xml:space="preserve"> </w:t>
      </w:r>
      <w:r w:rsidRPr="009C24DE">
        <w:rPr>
          <w:sz w:val="22"/>
          <w:szCs w:val="22"/>
        </w:rPr>
        <w:t xml:space="preserve">019) based on data obtained from Griffin’s other U.S. facilities. The continuous protein conversion process systems consist of a number of processes that grind, convey, cook, and remove fluids from red meat/poultry inedibles via two (2) lines. Griffin is proposing to separately include estimates of the emissions from the </w:t>
      </w:r>
      <w:r w:rsidR="00FB65B0" w:rsidRPr="004B54F3">
        <w:rPr>
          <w:bCs/>
          <w:sz w:val="22"/>
          <w:szCs w:val="22"/>
        </w:rPr>
        <w:t>Feather Protein Conversion Process Line</w:t>
      </w:r>
      <w:r w:rsidR="00FB65B0" w:rsidRPr="009C24DE">
        <w:rPr>
          <w:sz w:val="22"/>
          <w:szCs w:val="22"/>
        </w:rPr>
        <w:t xml:space="preserve"> </w:t>
      </w:r>
      <w:r w:rsidRPr="009C24DE">
        <w:rPr>
          <w:sz w:val="22"/>
          <w:szCs w:val="22"/>
        </w:rPr>
        <w:t>(EU</w:t>
      </w:r>
      <w:r w:rsidR="000E749E">
        <w:rPr>
          <w:sz w:val="22"/>
          <w:szCs w:val="22"/>
        </w:rPr>
        <w:t xml:space="preserve"> </w:t>
      </w:r>
      <w:r w:rsidRPr="009C24DE">
        <w:rPr>
          <w:sz w:val="22"/>
          <w:szCs w:val="22"/>
        </w:rPr>
        <w:t>020 a new defined Emissions Unit) as part of the protein conversion process.</w:t>
      </w:r>
    </w:p>
    <w:p w14:paraId="5B92F2BF" w14:textId="2D5E0D25" w:rsidR="0052332A" w:rsidRPr="009C24DE" w:rsidRDefault="0052332A" w:rsidP="0052332A">
      <w:pPr>
        <w:autoSpaceDE w:val="0"/>
        <w:autoSpaceDN w:val="0"/>
        <w:adjustRightInd w:val="0"/>
        <w:rPr>
          <w:sz w:val="22"/>
          <w:szCs w:val="22"/>
        </w:rPr>
      </w:pPr>
      <w:r w:rsidRPr="009C24DE">
        <w:rPr>
          <w:sz w:val="22"/>
          <w:szCs w:val="22"/>
        </w:rPr>
        <w:t>The protein conversion process lines emit hydrogen sulfide (H</w:t>
      </w:r>
      <w:r w:rsidRPr="006747A2">
        <w:rPr>
          <w:sz w:val="22"/>
          <w:szCs w:val="22"/>
          <w:vertAlign w:val="subscript"/>
        </w:rPr>
        <w:t>2</w:t>
      </w:r>
      <w:r w:rsidRPr="009C24DE">
        <w:rPr>
          <w:sz w:val="22"/>
          <w:szCs w:val="22"/>
        </w:rPr>
        <w:t>S), PM, and VOC in a water evaporating process.</w:t>
      </w:r>
    </w:p>
    <w:p w14:paraId="58054924" w14:textId="77777777" w:rsidR="0052332A" w:rsidRPr="009C24DE" w:rsidRDefault="0052332A" w:rsidP="0052332A">
      <w:pPr>
        <w:autoSpaceDE w:val="0"/>
        <w:autoSpaceDN w:val="0"/>
        <w:adjustRightInd w:val="0"/>
        <w:rPr>
          <w:sz w:val="22"/>
          <w:szCs w:val="22"/>
        </w:rPr>
      </w:pPr>
      <w:r w:rsidRPr="009C24DE">
        <w:rPr>
          <w:sz w:val="22"/>
          <w:szCs w:val="22"/>
        </w:rPr>
        <w:t>The EPA has published in AP</w:t>
      </w:r>
      <w:r w:rsidRPr="009C24DE">
        <w:rPr>
          <w:rFonts w:ascii="Cambria Math" w:hAnsi="Cambria Math" w:cs="Cambria Math"/>
          <w:sz w:val="22"/>
          <w:szCs w:val="22"/>
        </w:rPr>
        <w:t>‐</w:t>
      </w:r>
      <w:r w:rsidRPr="009C24DE">
        <w:rPr>
          <w:sz w:val="22"/>
          <w:szCs w:val="22"/>
        </w:rPr>
        <w:t>42, Chapter 9.5.3 (Meat Rendering Plants) controlled emission factors for H</w:t>
      </w:r>
      <w:r w:rsidRPr="009B4D9D">
        <w:rPr>
          <w:sz w:val="22"/>
          <w:szCs w:val="22"/>
          <w:vertAlign w:val="subscript"/>
        </w:rPr>
        <w:t>2</w:t>
      </w:r>
      <w:r w:rsidRPr="009C24DE">
        <w:rPr>
          <w:sz w:val="22"/>
          <w:szCs w:val="22"/>
        </w:rPr>
        <w:t>S,</w:t>
      </w:r>
    </w:p>
    <w:p w14:paraId="619829A2" w14:textId="27E8FEA0" w:rsidR="0052332A" w:rsidRPr="009C24DE" w:rsidRDefault="0052332A" w:rsidP="00A41915">
      <w:pPr>
        <w:autoSpaceDE w:val="0"/>
        <w:autoSpaceDN w:val="0"/>
        <w:adjustRightInd w:val="0"/>
        <w:spacing w:after="120"/>
        <w:rPr>
          <w:sz w:val="22"/>
          <w:szCs w:val="22"/>
        </w:rPr>
      </w:pPr>
      <w:r w:rsidRPr="009C24DE">
        <w:rPr>
          <w:sz w:val="22"/>
          <w:szCs w:val="22"/>
        </w:rPr>
        <w:t>PM</w:t>
      </w:r>
      <w:r w:rsidRPr="009B4D9D">
        <w:rPr>
          <w:sz w:val="22"/>
          <w:szCs w:val="22"/>
          <w:vertAlign w:val="subscript"/>
        </w:rPr>
        <w:t>10</w:t>
      </w:r>
      <w:r w:rsidRPr="009C24DE">
        <w:rPr>
          <w:sz w:val="22"/>
          <w:szCs w:val="22"/>
        </w:rPr>
        <w:t>, and condensable PM from blood dryers. However, these emission factors are not addressed directly towards rendering operations other than blood (specifically in this case, cooker and feather lines).  While these AP</w:t>
      </w:r>
      <w:r w:rsidRPr="009C24DE">
        <w:rPr>
          <w:rFonts w:ascii="Cambria Math" w:hAnsi="Cambria Math" w:cs="Cambria Math"/>
          <w:sz w:val="22"/>
          <w:szCs w:val="22"/>
        </w:rPr>
        <w:t>‐</w:t>
      </w:r>
      <w:r w:rsidRPr="009C24DE">
        <w:rPr>
          <w:sz w:val="22"/>
          <w:szCs w:val="22"/>
        </w:rPr>
        <w:t>42 emission factors (for H</w:t>
      </w:r>
      <w:r w:rsidRPr="003C59CF">
        <w:rPr>
          <w:sz w:val="22"/>
          <w:szCs w:val="22"/>
          <w:vertAlign w:val="subscript"/>
        </w:rPr>
        <w:t>2</w:t>
      </w:r>
      <w:r w:rsidRPr="009C24DE">
        <w:rPr>
          <w:sz w:val="22"/>
          <w:szCs w:val="22"/>
        </w:rPr>
        <w:t>S, PM</w:t>
      </w:r>
      <w:r w:rsidRPr="003C59CF">
        <w:rPr>
          <w:sz w:val="22"/>
          <w:szCs w:val="22"/>
          <w:vertAlign w:val="subscript"/>
        </w:rPr>
        <w:t>10</w:t>
      </w:r>
      <w:r w:rsidRPr="009C24DE">
        <w:rPr>
          <w:sz w:val="22"/>
          <w:szCs w:val="22"/>
        </w:rPr>
        <w:t>, and condensable PM) are specific to blood processing, Griffin has historically utilized these emission factors for all rendering operations in the absence of other process specific emission factors as a most</w:t>
      </w:r>
      <w:r w:rsidRPr="009C24DE">
        <w:rPr>
          <w:rFonts w:ascii="Cambria Math" w:hAnsi="Cambria Math" w:cs="Cambria Math"/>
          <w:sz w:val="22"/>
          <w:szCs w:val="22"/>
        </w:rPr>
        <w:t>‐</w:t>
      </w:r>
      <w:r w:rsidRPr="009C24DE">
        <w:rPr>
          <w:sz w:val="22"/>
          <w:szCs w:val="22"/>
        </w:rPr>
        <w:t xml:space="preserve">conservative measure. </w:t>
      </w:r>
    </w:p>
    <w:p w14:paraId="493A7756" w14:textId="2278DD1A" w:rsidR="0052332A" w:rsidRPr="00447EF4" w:rsidRDefault="0052332A" w:rsidP="00A41915">
      <w:pPr>
        <w:autoSpaceDE w:val="0"/>
        <w:autoSpaceDN w:val="0"/>
        <w:adjustRightInd w:val="0"/>
        <w:spacing w:after="120"/>
        <w:rPr>
          <w:sz w:val="22"/>
          <w:szCs w:val="22"/>
        </w:rPr>
      </w:pPr>
      <w:r w:rsidRPr="00447EF4">
        <w:rPr>
          <w:sz w:val="22"/>
          <w:szCs w:val="22"/>
        </w:rPr>
        <w:t>Griffin has developed filterable PM emissions performance/testing data for wet scrubbed rendering operations other than blood from two compliance tests conducted at Griffin’s facility in Butler, Kentucky in February 2004 and October 2009. Griffin asserts that these test results more accurately reflect actual PM emissions from Griffin’s operations than the AP</w:t>
      </w:r>
      <w:r w:rsidRPr="00447EF4">
        <w:rPr>
          <w:rFonts w:ascii="Cambria Math" w:hAnsi="Cambria Math" w:cs="Cambria Math"/>
          <w:sz w:val="22"/>
          <w:szCs w:val="22"/>
        </w:rPr>
        <w:t>‐</w:t>
      </w:r>
      <w:r w:rsidRPr="00447EF4">
        <w:rPr>
          <w:sz w:val="22"/>
          <w:szCs w:val="22"/>
        </w:rPr>
        <w:t>42 emission factors for blood dryers.</w:t>
      </w:r>
    </w:p>
    <w:p w14:paraId="22FCE2F5" w14:textId="19094D74" w:rsidR="0052332A" w:rsidRPr="00447EF4" w:rsidRDefault="005012C8" w:rsidP="00A41915">
      <w:pPr>
        <w:autoSpaceDE w:val="0"/>
        <w:autoSpaceDN w:val="0"/>
        <w:adjustRightInd w:val="0"/>
        <w:spacing w:after="120"/>
        <w:rPr>
          <w:sz w:val="22"/>
          <w:szCs w:val="22"/>
        </w:rPr>
      </w:pPr>
      <w:r w:rsidRPr="00447EF4">
        <w:rPr>
          <w:sz w:val="22"/>
          <w:szCs w:val="22"/>
        </w:rPr>
        <w:t>Griffin does not have site</w:t>
      </w:r>
      <w:r w:rsidRPr="00447EF4">
        <w:rPr>
          <w:rFonts w:ascii="Cambria Math" w:hAnsi="Cambria Math" w:cs="Cambria Math"/>
          <w:sz w:val="22"/>
          <w:szCs w:val="22"/>
        </w:rPr>
        <w:t>‐</w:t>
      </w:r>
      <w:r w:rsidRPr="00447EF4">
        <w:rPr>
          <w:sz w:val="22"/>
          <w:szCs w:val="22"/>
        </w:rPr>
        <w:t>specific monitoring data for H</w:t>
      </w:r>
      <w:r w:rsidRPr="00447EF4">
        <w:rPr>
          <w:sz w:val="22"/>
          <w:szCs w:val="22"/>
          <w:vertAlign w:val="subscript"/>
        </w:rPr>
        <w:t>2</w:t>
      </w:r>
      <w:r w:rsidRPr="00447EF4">
        <w:rPr>
          <w:sz w:val="22"/>
          <w:szCs w:val="22"/>
        </w:rPr>
        <w:t>S emissions and proposed to continue to use the AP</w:t>
      </w:r>
      <w:r w:rsidRPr="00447EF4">
        <w:rPr>
          <w:rFonts w:ascii="Cambria Math" w:hAnsi="Cambria Math" w:cs="Cambria Math"/>
          <w:sz w:val="22"/>
          <w:szCs w:val="22"/>
        </w:rPr>
        <w:t>‐</w:t>
      </w:r>
      <w:r w:rsidRPr="00447EF4">
        <w:rPr>
          <w:sz w:val="22"/>
          <w:szCs w:val="22"/>
        </w:rPr>
        <w:t>42 emission factors for blood dryers for calculating the emissions of these pollutants from the process operations.</w:t>
      </w:r>
    </w:p>
    <w:p w14:paraId="10BD2201" w14:textId="5752085B" w:rsidR="00A41915" w:rsidRPr="00447EF4" w:rsidRDefault="00A41915" w:rsidP="00A41915">
      <w:pPr>
        <w:autoSpaceDE w:val="0"/>
        <w:autoSpaceDN w:val="0"/>
        <w:adjustRightInd w:val="0"/>
        <w:spacing w:after="120"/>
        <w:rPr>
          <w:sz w:val="22"/>
          <w:szCs w:val="22"/>
        </w:rPr>
      </w:pPr>
      <w:r w:rsidRPr="00447EF4">
        <w:rPr>
          <w:sz w:val="22"/>
          <w:szCs w:val="22"/>
        </w:rPr>
        <w:t xml:space="preserve">Griffin also conducted actual VOC emissions testing (controlled and uncontrolled) in July 2011 from protein conversion operations </w:t>
      </w:r>
      <w:r w:rsidR="00366114" w:rsidRPr="00447EF4">
        <w:rPr>
          <w:sz w:val="22"/>
          <w:szCs w:val="22"/>
        </w:rPr>
        <w:t>at Griffin’s facility in Jackson, Mississippi which the facility state</w:t>
      </w:r>
      <w:r w:rsidRPr="00447EF4">
        <w:rPr>
          <w:sz w:val="22"/>
          <w:szCs w:val="22"/>
        </w:rPr>
        <w:t xml:space="preserve"> to be essentially identical to the lines at the Hampton facility. VOC emissions tests were conducted on the exhaust of a high</w:t>
      </w:r>
      <w:r w:rsidRPr="00447EF4">
        <w:rPr>
          <w:rFonts w:ascii="Cambria Math" w:hAnsi="Cambria Math" w:cs="Cambria Math"/>
          <w:sz w:val="22"/>
          <w:szCs w:val="22"/>
        </w:rPr>
        <w:t>‐</w:t>
      </w:r>
      <w:r w:rsidRPr="00447EF4">
        <w:rPr>
          <w:sz w:val="22"/>
          <w:szCs w:val="22"/>
        </w:rPr>
        <w:t xml:space="preserve">intensity scrubber system (wet venturi scrubber followed in series by a wet packed tower scrubber with oxidizing </w:t>
      </w:r>
      <w:r w:rsidR="00366114" w:rsidRPr="00447EF4">
        <w:rPr>
          <w:sz w:val="22"/>
          <w:szCs w:val="22"/>
        </w:rPr>
        <w:t>c</w:t>
      </w:r>
      <w:r w:rsidRPr="00447EF4">
        <w:rPr>
          <w:sz w:val="22"/>
          <w:szCs w:val="22"/>
        </w:rPr>
        <w:t>hemistry) for the facility’s cooker, feather, and blood processes.</w:t>
      </w:r>
    </w:p>
    <w:p w14:paraId="415987C1" w14:textId="4E892AEC" w:rsidR="00A41915" w:rsidRPr="00447EF4" w:rsidRDefault="00A41915" w:rsidP="00E72385">
      <w:pPr>
        <w:autoSpaceDE w:val="0"/>
        <w:autoSpaceDN w:val="0"/>
        <w:adjustRightInd w:val="0"/>
        <w:spacing w:after="120"/>
        <w:rPr>
          <w:sz w:val="22"/>
          <w:szCs w:val="22"/>
        </w:rPr>
      </w:pPr>
      <w:r w:rsidRPr="00447EF4">
        <w:rPr>
          <w:sz w:val="22"/>
          <w:szCs w:val="22"/>
        </w:rPr>
        <w:t xml:space="preserve">Griffin proposes using and emission factor of 0.386 lbs VOC/ ton of meal for the Inedible Animal by-products protein conversion process lines and a separate emission factor of 0.344 lbs VOC/ton of meal for the </w:t>
      </w:r>
      <w:r w:rsidR="009B4D9D" w:rsidRPr="004B54F3">
        <w:rPr>
          <w:bCs/>
          <w:sz w:val="22"/>
          <w:szCs w:val="22"/>
        </w:rPr>
        <w:t>Feather Protein Conversion Process Line</w:t>
      </w:r>
      <w:r w:rsidRPr="00447EF4">
        <w:rPr>
          <w:sz w:val="22"/>
          <w:szCs w:val="22"/>
        </w:rPr>
        <w:t>.</w:t>
      </w:r>
    </w:p>
    <w:p w14:paraId="32E0E177" w14:textId="6C65D9EE" w:rsidR="00CF59F5" w:rsidRPr="00447EF4" w:rsidRDefault="00CF59F5" w:rsidP="00042F97">
      <w:pPr>
        <w:autoSpaceDE w:val="0"/>
        <w:autoSpaceDN w:val="0"/>
        <w:adjustRightInd w:val="0"/>
        <w:spacing w:after="120"/>
        <w:rPr>
          <w:sz w:val="22"/>
          <w:szCs w:val="22"/>
        </w:rPr>
      </w:pPr>
      <w:r w:rsidRPr="00447EF4">
        <w:rPr>
          <w:sz w:val="22"/>
          <w:szCs w:val="22"/>
        </w:rPr>
        <w:t>It is noted that the updated VOC potential emission calcu</w:t>
      </w:r>
      <w:r w:rsidR="00C532A0">
        <w:rPr>
          <w:sz w:val="22"/>
          <w:szCs w:val="22"/>
        </w:rPr>
        <w:t>l</w:t>
      </w:r>
      <w:r w:rsidRPr="00447EF4">
        <w:rPr>
          <w:sz w:val="22"/>
          <w:szCs w:val="22"/>
        </w:rPr>
        <w:t>ations for these emission units are based on finished meal output rates instead of raw material input rates</w:t>
      </w:r>
      <w:r w:rsidR="009849A8" w:rsidRPr="00447EF4">
        <w:rPr>
          <w:sz w:val="22"/>
          <w:szCs w:val="22"/>
        </w:rPr>
        <w:t xml:space="preserve"> or previously used cooker evaporation rates</w:t>
      </w:r>
      <w:r w:rsidRPr="00447EF4">
        <w:rPr>
          <w:sz w:val="22"/>
          <w:szCs w:val="22"/>
        </w:rPr>
        <w:t xml:space="preserve">.  </w:t>
      </w:r>
      <w:r w:rsidR="009849A8" w:rsidRPr="00447EF4">
        <w:rPr>
          <w:sz w:val="22"/>
          <w:szCs w:val="22"/>
        </w:rPr>
        <w:t>The facility states that this is because the yield of finished protein meals from the raw materials is considered to be more consistent, is easily and routinely measured (for purposes of actual emissions calculations, as needed), and moreover, because EPA AP</w:t>
      </w:r>
      <w:r w:rsidR="009849A8" w:rsidRPr="00447EF4">
        <w:rPr>
          <w:rFonts w:ascii="Cambria Math" w:hAnsi="Cambria Math" w:cs="Cambria Math"/>
          <w:sz w:val="22"/>
          <w:szCs w:val="22"/>
        </w:rPr>
        <w:t>‐</w:t>
      </w:r>
      <w:r w:rsidR="009849A8" w:rsidRPr="00447EF4">
        <w:rPr>
          <w:sz w:val="22"/>
          <w:szCs w:val="22"/>
        </w:rPr>
        <w:t>42 process emission factors are finished meal weight</w:t>
      </w:r>
      <w:r w:rsidR="009849A8" w:rsidRPr="00447EF4">
        <w:rPr>
          <w:rFonts w:ascii="Cambria Math" w:hAnsi="Cambria Math" w:cs="Cambria Math"/>
          <w:sz w:val="22"/>
          <w:szCs w:val="22"/>
        </w:rPr>
        <w:t>‐</w:t>
      </w:r>
      <w:r w:rsidR="009849A8" w:rsidRPr="00447EF4">
        <w:rPr>
          <w:sz w:val="22"/>
          <w:szCs w:val="22"/>
        </w:rPr>
        <w:t>rate based.</w:t>
      </w:r>
    </w:p>
    <w:p w14:paraId="40D3CC52" w14:textId="6A2DD93C" w:rsidR="00447EF4" w:rsidRPr="00447EF4" w:rsidRDefault="00447EF4" w:rsidP="00042F97">
      <w:pPr>
        <w:autoSpaceDE w:val="0"/>
        <w:autoSpaceDN w:val="0"/>
        <w:adjustRightInd w:val="0"/>
        <w:spacing w:after="120"/>
        <w:rPr>
          <w:sz w:val="22"/>
          <w:szCs w:val="22"/>
        </w:rPr>
      </w:pPr>
      <w:r w:rsidRPr="00447EF4">
        <w:rPr>
          <w:sz w:val="22"/>
          <w:szCs w:val="22"/>
        </w:rPr>
        <w:t>Griffin determined the finished meal output rates of EU 014, EU 019,</w:t>
      </w:r>
      <w:r w:rsidR="000C29A9">
        <w:rPr>
          <w:sz w:val="22"/>
          <w:szCs w:val="22"/>
        </w:rPr>
        <w:t xml:space="preserve"> </w:t>
      </w:r>
      <w:r w:rsidRPr="00447EF4">
        <w:rPr>
          <w:sz w:val="22"/>
          <w:szCs w:val="22"/>
        </w:rPr>
        <w:t>and EU 020 in the application as follows:</w:t>
      </w:r>
    </w:p>
    <w:p w14:paraId="6DAB51C9" w14:textId="3A79F470" w:rsidR="00447EF4" w:rsidRDefault="00447EF4" w:rsidP="00042F97">
      <w:pPr>
        <w:autoSpaceDE w:val="0"/>
        <w:autoSpaceDN w:val="0"/>
        <w:adjustRightInd w:val="0"/>
        <w:spacing w:after="120"/>
        <w:rPr>
          <w:i/>
          <w:sz w:val="22"/>
          <w:szCs w:val="22"/>
        </w:rPr>
      </w:pPr>
      <w:r w:rsidRPr="00447EF4">
        <w:rPr>
          <w:i/>
          <w:sz w:val="22"/>
          <w:szCs w:val="22"/>
        </w:rPr>
        <w:t xml:space="preserve">“The protein conversion process is rate restricted solely by the water evaporative rate of the cooker/dryer equipment. EU001 has a design capacity to remove (evaporate) 19,185 pounds per hour (lb/hr) and EU019 has the capacity to evaporate 14,800 lb/hr of water from the raw materials; therefore, the ultimate actual raw material processing line input (throughput) rate is dependent upon raw material moisture content. An average </w:t>
      </w:r>
      <w:r w:rsidRPr="00447EF4">
        <w:rPr>
          <w:i/>
          <w:sz w:val="22"/>
          <w:szCs w:val="22"/>
        </w:rPr>
        <w:lastRenderedPageBreak/>
        <w:t>65% moisture of the composite meat/bone/offal raw materials is used herein for the two (2) cooker lines, and is based on known long</w:t>
      </w:r>
      <w:r w:rsidRPr="00447EF4">
        <w:rPr>
          <w:rFonts w:ascii="Cambria Math" w:hAnsi="Cambria Math" w:cs="Cambria Math"/>
          <w:i/>
          <w:sz w:val="22"/>
          <w:szCs w:val="22"/>
        </w:rPr>
        <w:t>‐</w:t>
      </w:r>
      <w:r w:rsidRPr="00447EF4">
        <w:rPr>
          <w:i/>
          <w:sz w:val="22"/>
          <w:szCs w:val="22"/>
        </w:rPr>
        <w:t>term average moisture contents of these poultry by</w:t>
      </w:r>
      <w:r w:rsidRPr="00447EF4">
        <w:rPr>
          <w:rFonts w:ascii="Cambria Math" w:hAnsi="Cambria Math" w:cs="Cambria Math"/>
          <w:i/>
          <w:sz w:val="22"/>
          <w:szCs w:val="22"/>
        </w:rPr>
        <w:t>‐</w:t>
      </w:r>
      <w:r w:rsidRPr="00447EF4">
        <w:rPr>
          <w:i/>
          <w:sz w:val="22"/>
          <w:szCs w:val="22"/>
        </w:rPr>
        <w:t>product materials. Therefore, the raw materials input rate for the two cooker lines average 29,500 lb/hr and 22,800 lb/hr, respectively. Thus, a total design capacity of 52,300 lb/hr of wet meat/bone/offal raw material is anticipated once both lines are installed.  Finished products off the protein conversion process lines are protein meals and fats. The finished protein meal production rates are derived from known and very consistent average yields from the poultry meat/bone/offal raw materials of 21.3% protein solids (meal), 13.6% fats, with the balance being water. The 21.3% finished meal yield equates to production rates of 6,284 lb/hr (or 3.14 tons per hour [tons/hr]) for EU001 and 4,856 lb/hr (or 2.43 tons/hr) for EU019.</w:t>
      </w:r>
    </w:p>
    <w:p w14:paraId="1FBCEAC4" w14:textId="25245316" w:rsidR="00447EF4" w:rsidRPr="00447EF4" w:rsidRDefault="00447EF4" w:rsidP="00042F97">
      <w:pPr>
        <w:autoSpaceDE w:val="0"/>
        <w:autoSpaceDN w:val="0"/>
        <w:adjustRightInd w:val="0"/>
        <w:spacing w:after="120"/>
        <w:rPr>
          <w:i/>
          <w:sz w:val="22"/>
          <w:szCs w:val="22"/>
        </w:rPr>
      </w:pPr>
      <w:r w:rsidRPr="00447EF4">
        <w:rPr>
          <w:i/>
          <w:sz w:val="22"/>
          <w:szCs w:val="22"/>
        </w:rPr>
        <w:t>The design process capacity of the Feather/Blood Line is 12,000 lb/hr of feather raw material (with an average 70% water content), or 20,000 lb/hr of blood (with an average 91% water content); or a combination of feathers/blood as discussed below. The finished meal production rates from the Feather/Blood Line are also derived from known and very consistent average yields of 30% protein solids from feathers and 9% protein solids from blood, with the balance being water (fat content of feathers/blood is negligible). The 30% finished feather meal yield equates to a production rate of 3,600 lb/hr (or 1.80 tons/hr), and the 9% finished blood meal yield equates to a production rate of 1,800 lb/hr (or 0.9 tons/hr).”</w:t>
      </w:r>
    </w:p>
    <w:p w14:paraId="4097FE33" w14:textId="36E701CE" w:rsidR="009849A8" w:rsidRPr="00447EF4" w:rsidRDefault="009849A8" w:rsidP="00042F97">
      <w:pPr>
        <w:autoSpaceDE w:val="0"/>
        <w:autoSpaceDN w:val="0"/>
        <w:adjustRightInd w:val="0"/>
        <w:spacing w:after="120"/>
        <w:rPr>
          <w:sz w:val="22"/>
          <w:szCs w:val="22"/>
        </w:rPr>
      </w:pPr>
      <w:r w:rsidRPr="00447EF4">
        <w:rPr>
          <w:sz w:val="22"/>
          <w:szCs w:val="22"/>
        </w:rPr>
        <w:t>Griffin included the fo</w:t>
      </w:r>
      <w:r w:rsidR="00A7585B" w:rsidRPr="00447EF4">
        <w:rPr>
          <w:sz w:val="22"/>
          <w:szCs w:val="22"/>
        </w:rPr>
        <w:t>l</w:t>
      </w:r>
      <w:r w:rsidRPr="00447EF4">
        <w:rPr>
          <w:sz w:val="22"/>
          <w:szCs w:val="22"/>
        </w:rPr>
        <w:t>lowing example calculation for annual potential emissions of VOC from these emissions units below:</w:t>
      </w:r>
    </w:p>
    <w:p w14:paraId="45DCBEFE" w14:textId="5189FDC5" w:rsidR="009849A8" w:rsidRDefault="009849A8" w:rsidP="009849A8">
      <w:pPr>
        <w:autoSpaceDE w:val="0"/>
        <w:autoSpaceDN w:val="0"/>
        <w:adjustRightInd w:val="0"/>
        <w:rPr>
          <w:b/>
          <w:sz w:val="22"/>
          <w:szCs w:val="22"/>
        </w:rPr>
      </w:pPr>
      <w:r>
        <w:rPr>
          <w:noProof/>
        </w:rPr>
        <w:drawing>
          <wp:inline distT="0" distB="0" distL="0" distR="0" wp14:anchorId="52F14A7B" wp14:editId="2967096D">
            <wp:extent cx="6109321" cy="1136393"/>
            <wp:effectExtent l="0" t="0" r="635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260600" cy="1164532"/>
                    </a:xfrm>
                    <a:prstGeom prst="rect">
                      <a:avLst/>
                    </a:prstGeom>
                  </pic:spPr>
                </pic:pic>
              </a:graphicData>
            </a:graphic>
          </wp:inline>
        </w:drawing>
      </w:r>
    </w:p>
    <w:p w14:paraId="21FBD3A4" w14:textId="2667B84C" w:rsidR="009849A8" w:rsidRDefault="009849A8" w:rsidP="00A41915">
      <w:pPr>
        <w:autoSpaceDE w:val="0"/>
        <w:autoSpaceDN w:val="0"/>
        <w:adjustRightInd w:val="0"/>
        <w:rPr>
          <w:b/>
          <w:sz w:val="22"/>
          <w:szCs w:val="22"/>
        </w:rPr>
      </w:pPr>
      <w:r>
        <w:rPr>
          <w:noProof/>
        </w:rPr>
        <w:drawing>
          <wp:inline distT="0" distB="0" distL="0" distR="0" wp14:anchorId="741615E5" wp14:editId="2FD3B5DF">
            <wp:extent cx="6106148" cy="112582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76689" cy="1138828"/>
                    </a:xfrm>
                    <a:prstGeom prst="rect">
                      <a:avLst/>
                    </a:prstGeom>
                  </pic:spPr>
                </pic:pic>
              </a:graphicData>
            </a:graphic>
          </wp:inline>
        </w:drawing>
      </w:r>
    </w:p>
    <w:p w14:paraId="54F2F5EC" w14:textId="77777777" w:rsidR="009849A8" w:rsidRDefault="009849A8" w:rsidP="00A41915">
      <w:pPr>
        <w:autoSpaceDE w:val="0"/>
        <w:autoSpaceDN w:val="0"/>
        <w:adjustRightInd w:val="0"/>
        <w:rPr>
          <w:b/>
          <w:sz w:val="22"/>
          <w:szCs w:val="22"/>
        </w:rPr>
      </w:pPr>
    </w:p>
    <w:p w14:paraId="07D1332F" w14:textId="4D964008" w:rsidR="009849A8" w:rsidRDefault="009849A8" w:rsidP="00A41915">
      <w:pPr>
        <w:autoSpaceDE w:val="0"/>
        <w:autoSpaceDN w:val="0"/>
        <w:adjustRightInd w:val="0"/>
        <w:rPr>
          <w:b/>
          <w:sz w:val="22"/>
          <w:szCs w:val="22"/>
        </w:rPr>
      </w:pPr>
      <w:r>
        <w:rPr>
          <w:noProof/>
        </w:rPr>
        <w:drawing>
          <wp:inline distT="0" distB="0" distL="0" distR="0" wp14:anchorId="18236267" wp14:editId="1D32D70F">
            <wp:extent cx="5967385" cy="2150682"/>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052353" cy="2181305"/>
                    </a:xfrm>
                    <a:prstGeom prst="rect">
                      <a:avLst/>
                    </a:prstGeom>
                  </pic:spPr>
                </pic:pic>
              </a:graphicData>
            </a:graphic>
          </wp:inline>
        </w:drawing>
      </w:r>
    </w:p>
    <w:p w14:paraId="7FA53A62" w14:textId="35D9584B" w:rsidR="00EB7A3E" w:rsidRDefault="00EB7A3E">
      <w:pPr>
        <w:rPr>
          <w:b/>
          <w:sz w:val="22"/>
          <w:szCs w:val="22"/>
        </w:rPr>
      </w:pPr>
      <w:r>
        <w:rPr>
          <w:b/>
          <w:sz w:val="22"/>
          <w:szCs w:val="22"/>
        </w:rPr>
        <w:br w:type="page"/>
      </w:r>
    </w:p>
    <w:p w14:paraId="6E1CF409" w14:textId="77777777" w:rsidR="009849A8" w:rsidRDefault="009849A8" w:rsidP="00A41915">
      <w:pPr>
        <w:autoSpaceDE w:val="0"/>
        <w:autoSpaceDN w:val="0"/>
        <w:adjustRightInd w:val="0"/>
        <w:rPr>
          <w:b/>
          <w:sz w:val="22"/>
          <w:szCs w:val="22"/>
        </w:rPr>
      </w:pPr>
    </w:p>
    <w:p w14:paraId="40345C8F" w14:textId="7E9F0884" w:rsidR="00A41915" w:rsidRDefault="00CD0AF9" w:rsidP="00A41915">
      <w:pPr>
        <w:autoSpaceDE w:val="0"/>
        <w:autoSpaceDN w:val="0"/>
        <w:adjustRightInd w:val="0"/>
        <w:rPr>
          <w:b/>
          <w:sz w:val="22"/>
          <w:szCs w:val="22"/>
        </w:rPr>
      </w:pPr>
      <w:r>
        <w:rPr>
          <w:b/>
          <w:sz w:val="22"/>
          <w:szCs w:val="22"/>
        </w:rPr>
        <w:t xml:space="preserve">As provided by the applicant, </w:t>
      </w:r>
      <w:r w:rsidR="00282DD5" w:rsidRPr="00282DD5">
        <w:rPr>
          <w:b/>
          <w:sz w:val="22"/>
          <w:szCs w:val="22"/>
        </w:rPr>
        <w:t>Inedible Animal By</w:t>
      </w:r>
      <w:r w:rsidR="00282DD5" w:rsidRPr="00282DD5">
        <w:rPr>
          <w:rFonts w:ascii="Cambria Math" w:hAnsi="Cambria Math" w:cs="Cambria Math"/>
          <w:b/>
          <w:sz w:val="22"/>
          <w:szCs w:val="22"/>
        </w:rPr>
        <w:t>‐</w:t>
      </w:r>
      <w:r w:rsidR="00282DD5" w:rsidRPr="00282DD5">
        <w:rPr>
          <w:b/>
          <w:sz w:val="22"/>
          <w:szCs w:val="22"/>
        </w:rPr>
        <w:t>products Protein Conversion Processes – Updated Potential Emissions</w:t>
      </w:r>
      <w:r w:rsidR="000B1252">
        <w:rPr>
          <w:b/>
          <w:sz w:val="22"/>
          <w:szCs w:val="22"/>
        </w:rPr>
        <w:t>, Table D</w:t>
      </w:r>
    </w:p>
    <w:p w14:paraId="3DB0B343" w14:textId="77777777" w:rsidR="00282DD5" w:rsidRDefault="00282DD5" w:rsidP="00A41915">
      <w:pPr>
        <w:autoSpaceDE w:val="0"/>
        <w:autoSpaceDN w:val="0"/>
        <w:adjustRightInd w:val="0"/>
        <w:rPr>
          <w:b/>
          <w:sz w:val="22"/>
          <w:szCs w:val="22"/>
        </w:rPr>
      </w:pPr>
    </w:p>
    <w:tbl>
      <w:tblPr>
        <w:tblStyle w:val="TableGrid"/>
        <w:tblW w:w="0" w:type="auto"/>
        <w:tblLook w:val="04A0" w:firstRow="1" w:lastRow="0" w:firstColumn="1" w:lastColumn="0" w:noHBand="0" w:noVBand="1"/>
      </w:tblPr>
      <w:tblGrid>
        <w:gridCol w:w="3145"/>
        <w:gridCol w:w="1800"/>
        <w:gridCol w:w="1710"/>
        <w:gridCol w:w="1800"/>
        <w:gridCol w:w="1615"/>
      </w:tblGrid>
      <w:tr w:rsidR="007F4EE2" w:rsidRPr="00282DD5" w14:paraId="18C5ADF9" w14:textId="77777777" w:rsidTr="00282DD5">
        <w:tc>
          <w:tcPr>
            <w:tcW w:w="3145" w:type="dxa"/>
            <w:vMerge w:val="restart"/>
          </w:tcPr>
          <w:p w14:paraId="040721EE" w14:textId="4B03B7EB" w:rsidR="007F4EE2" w:rsidRPr="00282DD5" w:rsidRDefault="007F4EE2" w:rsidP="00A41915">
            <w:pPr>
              <w:autoSpaceDE w:val="0"/>
              <w:autoSpaceDN w:val="0"/>
              <w:adjustRightInd w:val="0"/>
              <w:rPr>
                <w:b/>
                <w:sz w:val="22"/>
                <w:szCs w:val="22"/>
              </w:rPr>
            </w:pPr>
            <w:r w:rsidRPr="00282DD5">
              <w:rPr>
                <w:b/>
                <w:sz w:val="22"/>
                <w:szCs w:val="22"/>
              </w:rPr>
              <w:t>Emissions Unit</w:t>
            </w:r>
          </w:p>
        </w:tc>
        <w:tc>
          <w:tcPr>
            <w:tcW w:w="6925" w:type="dxa"/>
            <w:gridSpan w:val="4"/>
          </w:tcPr>
          <w:p w14:paraId="7AFB6103" w14:textId="3D801E3C" w:rsidR="007F4EE2" w:rsidRPr="00282DD5" w:rsidRDefault="007F4EE2" w:rsidP="00282DD5">
            <w:pPr>
              <w:autoSpaceDE w:val="0"/>
              <w:autoSpaceDN w:val="0"/>
              <w:adjustRightInd w:val="0"/>
              <w:jc w:val="center"/>
              <w:rPr>
                <w:b/>
                <w:sz w:val="22"/>
                <w:szCs w:val="22"/>
              </w:rPr>
            </w:pPr>
            <w:r w:rsidRPr="00282DD5">
              <w:rPr>
                <w:b/>
                <w:sz w:val="22"/>
                <w:szCs w:val="22"/>
              </w:rPr>
              <w:t>Potential Emissions (TPY)</w:t>
            </w:r>
          </w:p>
        </w:tc>
      </w:tr>
      <w:tr w:rsidR="007F4EE2" w:rsidRPr="00282DD5" w14:paraId="306A8B30" w14:textId="77777777" w:rsidTr="00282DD5">
        <w:tc>
          <w:tcPr>
            <w:tcW w:w="3145" w:type="dxa"/>
            <w:vMerge/>
          </w:tcPr>
          <w:p w14:paraId="72AFE2ED" w14:textId="77777777" w:rsidR="007F4EE2" w:rsidRPr="00282DD5" w:rsidRDefault="007F4EE2" w:rsidP="00A41915">
            <w:pPr>
              <w:autoSpaceDE w:val="0"/>
              <w:autoSpaceDN w:val="0"/>
              <w:adjustRightInd w:val="0"/>
              <w:rPr>
                <w:b/>
                <w:sz w:val="22"/>
                <w:szCs w:val="22"/>
              </w:rPr>
            </w:pPr>
          </w:p>
        </w:tc>
        <w:tc>
          <w:tcPr>
            <w:tcW w:w="1800" w:type="dxa"/>
          </w:tcPr>
          <w:p w14:paraId="60A18426" w14:textId="4E6F5EC0" w:rsidR="007F4EE2" w:rsidRPr="00282DD5" w:rsidRDefault="007F4EE2" w:rsidP="00282DD5">
            <w:pPr>
              <w:autoSpaceDE w:val="0"/>
              <w:autoSpaceDN w:val="0"/>
              <w:adjustRightInd w:val="0"/>
              <w:jc w:val="center"/>
              <w:rPr>
                <w:b/>
                <w:sz w:val="22"/>
                <w:szCs w:val="22"/>
              </w:rPr>
            </w:pPr>
            <w:r w:rsidRPr="00282DD5">
              <w:rPr>
                <w:b/>
                <w:sz w:val="22"/>
                <w:szCs w:val="22"/>
              </w:rPr>
              <w:t>VOC</w:t>
            </w:r>
          </w:p>
        </w:tc>
        <w:tc>
          <w:tcPr>
            <w:tcW w:w="1710" w:type="dxa"/>
          </w:tcPr>
          <w:p w14:paraId="2F578EEE" w14:textId="2192C4B1" w:rsidR="007F4EE2" w:rsidRPr="00282DD5" w:rsidRDefault="007F4EE2" w:rsidP="00282DD5">
            <w:pPr>
              <w:autoSpaceDE w:val="0"/>
              <w:autoSpaceDN w:val="0"/>
              <w:adjustRightInd w:val="0"/>
              <w:jc w:val="center"/>
              <w:rPr>
                <w:b/>
                <w:sz w:val="22"/>
                <w:szCs w:val="22"/>
              </w:rPr>
            </w:pPr>
            <w:r w:rsidRPr="00282DD5">
              <w:rPr>
                <w:b/>
                <w:sz w:val="22"/>
                <w:szCs w:val="22"/>
              </w:rPr>
              <w:t>PM</w:t>
            </w:r>
            <w:r w:rsidRPr="00282DD5">
              <w:rPr>
                <w:b/>
                <w:sz w:val="22"/>
                <w:szCs w:val="22"/>
                <w:vertAlign w:val="subscript"/>
              </w:rPr>
              <w:t>10</w:t>
            </w:r>
          </w:p>
        </w:tc>
        <w:tc>
          <w:tcPr>
            <w:tcW w:w="1800" w:type="dxa"/>
          </w:tcPr>
          <w:p w14:paraId="4D13143B" w14:textId="16908515" w:rsidR="007F4EE2" w:rsidRPr="00282DD5" w:rsidRDefault="007F4EE2" w:rsidP="00282DD5">
            <w:pPr>
              <w:autoSpaceDE w:val="0"/>
              <w:autoSpaceDN w:val="0"/>
              <w:adjustRightInd w:val="0"/>
              <w:jc w:val="center"/>
              <w:rPr>
                <w:b/>
                <w:sz w:val="22"/>
                <w:szCs w:val="22"/>
              </w:rPr>
            </w:pPr>
            <w:r w:rsidRPr="00282DD5">
              <w:rPr>
                <w:b/>
                <w:sz w:val="22"/>
                <w:szCs w:val="22"/>
              </w:rPr>
              <w:t>PM</w:t>
            </w:r>
            <w:r w:rsidRPr="00282DD5">
              <w:rPr>
                <w:b/>
                <w:sz w:val="22"/>
                <w:szCs w:val="22"/>
                <w:vertAlign w:val="subscript"/>
              </w:rPr>
              <w:t>2.5</w:t>
            </w:r>
          </w:p>
        </w:tc>
        <w:tc>
          <w:tcPr>
            <w:tcW w:w="1615" w:type="dxa"/>
          </w:tcPr>
          <w:p w14:paraId="6FFBF81E" w14:textId="414E34BF" w:rsidR="007F4EE2" w:rsidRPr="00282DD5" w:rsidRDefault="007F4EE2" w:rsidP="00282DD5">
            <w:pPr>
              <w:autoSpaceDE w:val="0"/>
              <w:autoSpaceDN w:val="0"/>
              <w:adjustRightInd w:val="0"/>
              <w:jc w:val="center"/>
              <w:rPr>
                <w:b/>
                <w:sz w:val="22"/>
                <w:szCs w:val="22"/>
              </w:rPr>
            </w:pPr>
            <w:r w:rsidRPr="00282DD5">
              <w:rPr>
                <w:b/>
                <w:sz w:val="22"/>
                <w:szCs w:val="22"/>
              </w:rPr>
              <w:t>H</w:t>
            </w:r>
            <w:r w:rsidRPr="00282DD5">
              <w:rPr>
                <w:b/>
                <w:sz w:val="22"/>
                <w:szCs w:val="22"/>
                <w:vertAlign w:val="subscript"/>
              </w:rPr>
              <w:t>2</w:t>
            </w:r>
            <w:r w:rsidRPr="00282DD5">
              <w:rPr>
                <w:b/>
                <w:sz w:val="22"/>
                <w:szCs w:val="22"/>
              </w:rPr>
              <w:t>S</w:t>
            </w:r>
          </w:p>
        </w:tc>
      </w:tr>
      <w:tr w:rsidR="00282DD5" w:rsidRPr="00282DD5" w14:paraId="06108DAA" w14:textId="77777777" w:rsidTr="00282DD5">
        <w:tc>
          <w:tcPr>
            <w:tcW w:w="3145" w:type="dxa"/>
          </w:tcPr>
          <w:p w14:paraId="026A86AF" w14:textId="65B9DCAE" w:rsidR="00282DD5" w:rsidRPr="00282DD5" w:rsidRDefault="00282DD5" w:rsidP="00282DD5">
            <w:pPr>
              <w:autoSpaceDE w:val="0"/>
              <w:autoSpaceDN w:val="0"/>
              <w:adjustRightInd w:val="0"/>
              <w:rPr>
                <w:sz w:val="22"/>
                <w:szCs w:val="22"/>
              </w:rPr>
            </w:pPr>
            <w:r w:rsidRPr="00282DD5">
              <w:rPr>
                <w:sz w:val="22"/>
                <w:szCs w:val="22"/>
              </w:rPr>
              <w:t xml:space="preserve">Inedible Animal </w:t>
            </w:r>
            <w:r>
              <w:rPr>
                <w:sz w:val="22"/>
                <w:szCs w:val="22"/>
              </w:rPr>
              <w:t>B</w:t>
            </w:r>
            <w:r w:rsidRPr="00282DD5">
              <w:rPr>
                <w:sz w:val="22"/>
                <w:szCs w:val="22"/>
              </w:rPr>
              <w:t>y-products Protein Conversion Process Line #1 (EU 014)</w:t>
            </w:r>
          </w:p>
        </w:tc>
        <w:tc>
          <w:tcPr>
            <w:tcW w:w="1800" w:type="dxa"/>
          </w:tcPr>
          <w:p w14:paraId="4BBD9DAC" w14:textId="6B687EC0" w:rsidR="00282DD5" w:rsidRPr="00282DD5" w:rsidRDefault="00282DD5" w:rsidP="00282DD5">
            <w:pPr>
              <w:autoSpaceDE w:val="0"/>
              <w:autoSpaceDN w:val="0"/>
              <w:adjustRightInd w:val="0"/>
              <w:jc w:val="center"/>
              <w:rPr>
                <w:sz w:val="22"/>
                <w:szCs w:val="22"/>
              </w:rPr>
            </w:pPr>
            <w:r w:rsidRPr="00282DD5">
              <w:rPr>
                <w:sz w:val="22"/>
                <w:szCs w:val="22"/>
              </w:rPr>
              <w:t>5.38</w:t>
            </w:r>
          </w:p>
        </w:tc>
        <w:tc>
          <w:tcPr>
            <w:tcW w:w="1710" w:type="dxa"/>
          </w:tcPr>
          <w:p w14:paraId="4456AEDF" w14:textId="5C34B481" w:rsidR="00282DD5" w:rsidRPr="00282DD5" w:rsidRDefault="00282DD5" w:rsidP="00282DD5">
            <w:pPr>
              <w:autoSpaceDE w:val="0"/>
              <w:autoSpaceDN w:val="0"/>
              <w:adjustRightInd w:val="0"/>
              <w:jc w:val="center"/>
              <w:rPr>
                <w:sz w:val="22"/>
                <w:szCs w:val="22"/>
              </w:rPr>
            </w:pPr>
            <w:r w:rsidRPr="00282DD5">
              <w:rPr>
                <w:sz w:val="22"/>
                <w:szCs w:val="22"/>
              </w:rPr>
              <w:t>1.32</w:t>
            </w:r>
          </w:p>
        </w:tc>
        <w:tc>
          <w:tcPr>
            <w:tcW w:w="1800" w:type="dxa"/>
          </w:tcPr>
          <w:p w14:paraId="4C7F7442" w14:textId="4EE6991F" w:rsidR="00282DD5" w:rsidRPr="00282DD5" w:rsidRDefault="00282DD5" w:rsidP="00282DD5">
            <w:pPr>
              <w:autoSpaceDE w:val="0"/>
              <w:autoSpaceDN w:val="0"/>
              <w:adjustRightInd w:val="0"/>
              <w:jc w:val="center"/>
              <w:rPr>
                <w:sz w:val="22"/>
                <w:szCs w:val="22"/>
              </w:rPr>
            </w:pPr>
            <w:r w:rsidRPr="00282DD5">
              <w:rPr>
                <w:sz w:val="22"/>
                <w:szCs w:val="22"/>
              </w:rPr>
              <w:t>0.50</w:t>
            </w:r>
          </w:p>
        </w:tc>
        <w:tc>
          <w:tcPr>
            <w:tcW w:w="1615" w:type="dxa"/>
          </w:tcPr>
          <w:p w14:paraId="509BDA3F" w14:textId="5393EEDB" w:rsidR="00282DD5" w:rsidRPr="00282DD5" w:rsidRDefault="00282DD5" w:rsidP="00282DD5">
            <w:pPr>
              <w:autoSpaceDE w:val="0"/>
              <w:autoSpaceDN w:val="0"/>
              <w:adjustRightInd w:val="0"/>
              <w:jc w:val="center"/>
              <w:rPr>
                <w:sz w:val="22"/>
                <w:szCs w:val="22"/>
              </w:rPr>
            </w:pPr>
            <w:r w:rsidRPr="00282DD5">
              <w:rPr>
                <w:sz w:val="22"/>
                <w:szCs w:val="22"/>
              </w:rPr>
              <w:t>1.10</w:t>
            </w:r>
          </w:p>
        </w:tc>
      </w:tr>
      <w:tr w:rsidR="00282DD5" w:rsidRPr="00282DD5" w14:paraId="55B9F951" w14:textId="77777777" w:rsidTr="00282DD5">
        <w:tc>
          <w:tcPr>
            <w:tcW w:w="3145" w:type="dxa"/>
          </w:tcPr>
          <w:p w14:paraId="44176004" w14:textId="58D19660" w:rsidR="00282DD5" w:rsidRPr="00282DD5" w:rsidRDefault="00282DD5" w:rsidP="00282DD5">
            <w:pPr>
              <w:autoSpaceDE w:val="0"/>
              <w:autoSpaceDN w:val="0"/>
              <w:adjustRightInd w:val="0"/>
              <w:rPr>
                <w:sz w:val="22"/>
                <w:szCs w:val="22"/>
              </w:rPr>
            </w:pPr>
            <w:r w:rsidRPr="00282DD5">
              <w:rPr>
                <w:sz w:val="22"/>
                <w:szCs w:val="22"/>
              </w:rPr>
              <w:t xml:space="preserve">Inedible Animal </w:t>
            </w:r>
            <w:r>
              <w:rPr>
                <w:sz w:val="22"/>
                <w:szCs w:val="22"/>
              </w:rPr>
              <w:t>B</w:t>
            </w:r>
            <w:r w:rsidRPr="00282DD5">
              <w:rPr>
                <w:sz w:val="22"/>
                <w:szCs w:val="22"/>
              </w:rPr>
              <w:t>y-products Protein Conversion Process Line #1 (EU 019)</w:t>
            </w:r>
          </w:p>
        </w:tc>
        <w:tc>
          <w:tcPr>
            <w:tcW w:w="1800" w:type="dxa"/>
          </w:tcPr>
          <w:p w14:paraId="4FCB4834" w14:textId="22D385A9" w:rsidR="00282DD5" w:rsidRPr="00282DD5" w:rsidRDefault="00282DD5" w:rsidP="00282DD5">
            <w:pPr>
              <w:autoSpaceDE w:val="0"/>
              <w:autoSpaceDN w:val="0"/>
              <w:adjustRightInd w:val="0"/>
              <w:jc w:val="center"/>
              <w:rPr>
                <w:sz w:val="22"/>
                <w:szCs w:val="22"/>
              </w:rPr>
            </w:pPr>
            <w:r w:rsidRPr="00282DD5">
              <w:rPr>
                <w:sz w:val="22"/>
                <w:szCs w:val="22"/>
              </w:rPr>
              <w:t>4.14</w:t>
            </w:r>
          </w:p>
        </w:tc>
        <w:tc>
          <w:tcPr>
            <w:tcW w:w="1710" w:type="dxa"/>
          </w:tcPr>
          <w:p w14:paraId="449DC90F" w14:textId="6CFDB039" w:rsidR="00282DD5" w:rsidRPr="00282DD5" w:rsidRDefault="00282DD5" w:rsidP="00282DD5">
            <w:pPr>
              <w:autoSpaceDE w:val="0"/>
              <w:autoSpaceDN w:val="0"/>
              <w:adjustRightInd w:val="0"/>
              <w:jc w:val="center"/>
              <w:rPr>
                <w:sz w:val="22"/>
                <w:szCs w:val="22"/>
              </w:rPr>
            </w:pPr>
            <w:r w:rsidRPr="00282DD5">
              <w:rPr>
                <w:sz w:val="22"/>
                <w:szCs w:val="22"/>
              </w:rPr>
              <w:t>1.02</w:t>
            </w:r>
          </w:p>
        </w:tc>
        <w:tc>
          <w:tcPr>
            <w:tcW w:w="1800" w:type="dxa"/>
          </w:tcPr>
          <w:p w14:paraId="743719F1" w14:textId="7F8D2901" w:rsidR="00282DD5" w:rsidRPr="00282DD5" w:rsidRDefault="00282DD5" w:rsidP="00282DD5">
            <w:pPr>
              <w:autoSpaceDE w:val="0"/>
              <w:autoSpaceDN w:val="0"/>
              <w:adjustRightInd w:val="0"/>
              <w:jc w:val="center"/>
              <w:rPr>
                <w:sz w:val="22"/>
                <w:szCs w:val="22"/>
              </w:rPr>
            </w:pPr>
            <w:r w:rsidRPr="00282DD5">
              <w:rPr>
                <w:sz w:val="22"/>
                <w:szCs w:val="22"/>
              </w:rPr>
              <w:t>0.39</w:t>
            </w:r>
          </w:p>
        </w:tc>
        <w:tc>
          <w:tcPr>
            <w:tcW w:w="1615" w:type="dxa"/>
          </w:tcPr>
          <w:p w14:paraId="00EB160F" w14:textId="6D3F388C" w:rsidR="00282DD5" w:rsidRPr="00282DD5" w:rsidRDefault="00282DD5" w:rsidP="00282DD5">
            <w:pPr>
              <w:autoSpaceDE w:val="0"/>
              <w:autoSpaceDN w:val="0"/>
              <w:adjustRightInd w:val="0"/>
              <w:jc w:val="center"/>
              <w:rPr>
                <w:sz w:val="22"/>
                <w:szCs w:val="22"/>
              </w:rPr>
            </w:pPr>
            <w:r w:rsidRPr="00282DD5">
              <w:rPr>
                <w:sz w:val="22"/>
                <w:szCs w:val="22"/>
              </w:rPr>
              <w:t>0.88</w:t>
            </w:r>
          </w:p>
        </w:tc>
      </w:tr>
      <w:tr w:rsidR="00282DD5" w:rsidRPr="00282DD5" w14:paraId="7511E825" w14:textId="77777777" w:rsidTr="00282DD5">
        <w:tc>
          <w:tcPr>
            <w:tcW w:w="3145" w:type="dxa"/>
          </w:tcPr>
          <w:p w14:paraId="5A9E7749" w14:textId="2DC9FC1A" w:rsidR="00282DD5" w:rsidRPr="00282DD5" w:rsidRDefault="004361EC" w:rsidP="00282DD5">
            <w:pPr>
              <w:autoSpaceDE w:val="0"/>
              <w:autoSpaceDN w:val="0"/>
              <w:adjustRightInd w:val="0"/>
              <w:rPr>
                <w:sz w:val="22"/>
                <w:szCs w:val="22"/>
              </w:rPr>
            </w:pPr>
            <w:r w:rsidRPr="004B54F3">
              <w:rPr>
                <w:bCs/>
                <w:sz w:val="22"/>
                <w:szCs w:val="22"/>
              </w:rPr>
              <w:t>Feather Protein Conversion Process Line</w:t>
            </w:r>
            <w:r w:rsidRPr="00282DD5">
              <w:rPr>
                <w:sz w:val="22"/>
                <w:szCs w:val="22"/>
              </w:rPr>
              <w:t xml:space="preserve"> </w:t>
            </w:r>
            <w:r w:rsidR="00282DD5" w:rsidRPr="00282DD5">
              <w:rPr>
                <w:sz w:val="22"/>
                <w:szCs w:val="22"/>
              </w:rPr>
              <w:t>(EU 020)</w:t>
            </w:r>
          </w:p>
        </w:tc>
        <w:tc>
          <w:tcPr>
            <w:tcW w:w="1800" w:type="dxa"/>
          </w:tcPr>
          <w:p w14:paraId="0C530F2D" w14:textId="27BB6C41" w:rsidR="00282DD5" w:rsidRPr="00282DD5" w:rsidRDefault="00282DD5" w:rsidP="00282DD5">
            <w:pPr>
              <w:autoSpaceDE w:val="0"/>
              <w:autoSpaceDN w:val="0"/>
              <w:adjustRightInd w:val="0"/>
              <w:jc w:val="center"/>
              <w:rPr>
                <w:sz w:val="22"/>
                <w:szCs w:val="22"/>
              </w:rPr>
            </w:pPr>
            <w:r w:rsidRPr="00282DD5">
              <w:rPr>
                <w:sz w:val="22"/>
                <w:szCs w:val="22"/>
              </w:rPr>
              <w:t>2.71</w:t>
            </w:r>
          </w:p>
        </w:tc>
        <w:tc>
          <w:tcPr>
            <w:tcW w:w="1710" w:type="dxa"/>
          </w:tcPr>
          <w:p w14:paraId="6979FB26" w14:textId="5B5E621B" w:rsidR="00282DD5" w:rsidRPr="00282DD5" w:rsidRDefault="00282DD5" w:rsidP="00282DD5">
            <w:pPr>
              <w:autoSpaceDE w:val="0"/>
              <w:autoSpaceDN w:val="0"/>
              <w:adjustRightInd w:val="0"/>
              <w:jc w:val="center"/>
              <w:rPr>
                <w:sz w:val="22"/>
                <w:szCs w:val="22"/>
              </w:rPr>
            </w:pPr>
            <w:r w:rsidRPr="00282DD5">
              <w:rPr>
                <w:sz w:val="22"/>
                <w:szCs w:val="22"/>
              </w:rPr>
              <w:t>0.75</w:t>
            </w:r>
          </w:p>
        </w:tc>
        <w:tc>
          <w:tcPr>
            <w:tcW w:w="1800" w:type="dxa"/>
          </w:tcPr>
          <w:p w14:paraId="07A4DDCA" w14:textId="656AF709" w:rsidR="00282DD5" w:rsidRPr="00282DD5" w:rsidRDefault="00282DD5" w:rsidP="00282DD5">
            <w:pPr>
              <w:autoSpaceDE w:val="0"/>
              <w:autoSpaceDN w:val="0"/>
              <w:adjustRightInd w:val="0"/>
              <w:jc w:val="center"/>
              <w:rPr>
                <w:sz w:val="22"/>
                <w:szCs w:val="22"/>
              </w:rPr>
            </w:pPr>
            <w:r w:rsidRPr="00282DD5">
              <w:rPr>
                <w:sz w:val="22"/>
                <w:szCs w:val="22"/>
              </w:rPr>
              <w:t>0.28</w:t>
            </w:r>
          </w:p>
        </w:tc>
        <w:tc>
          <w:tcPr>
            <w:tcW w:w="1615" w:type="dxa"/>
          </w:tcPr>
          <w:p w14:paraId="5ADD40F5" w14:textId="2D694FC4" w:rsidR="00282DD5" w:rsidRPr="00282DD5" w:rsidRDefault="00282DD5" w:rsidP="00282DD5">
            <w:pPr>
              <w:autoSpaceDE w:val="0"/>
              <w:autoSpaceDN w:val="0"/>
              <w:adjustRightInd w:val="0"/>
              <w:jc w:val="center"/>
              <w:rPr>
                <w:sz w:val="22"/>
                <w:szCs w:val="22"/>
              </w:rPr>
            </w:pPr>
            <w:r w:rsidRPr="00282DD5">
              <w:rPr>
                <w:sz w:val="22"/>
                <w:szCs w:val="22"/>
              </w:rPr>
              <w:t>0.63</w:t>
            </w:r>
          </w:p>
        </w:tc>
      </w:tr>
    </w:tbl>
    <w:p w14:paraId="3ED9EEDA" w14:textId="77777777" w:rsidR="00282DD5" w:rsidRDefault="00282DD5" w:rsidP="00A41915">
      <w:pPr>
        <w:autoSpaceDE w:val="0"/>
        <w:autoSpaceDN w:val="0"/>
        <w:adjustRightInd w:val="0"/>
        <w:rPr>
          <w:rFonts w:ascii="Cambria" w:hAnsi="Cambria" w:cs="Cambria"/>
          <w:sz w:val="21"/>
          <w:szCs w:val="21"/>
        </w:rPr>
      </w:pPr>
    </w:p>
    <w:p w14:paraId="67CADF59" w14:textId="77777777" w:rsidR="00EB7A3E" w:rsidRDefault="00EB7A3E" w:rsidP="00CA1844">
      <w:pPr>
        <w:autoSpaceDE w:val="0"/>
        <w:autoSpaceDN w:val="0"/>
        <w:adjustRightInd w:val="0"/>
        <w:rPr>
          <w:sz w:val="22"/>
        </w:rPr>
      </w:pPr>
    </w:p>
    <w:p w14:paraId="5D70B312" w14:textId="315E8F64" w:rsidR="00CA1844" w:rsidRPr="007F4EE2" w:rsidRDefault="007F4EE2" w:rsidP="00CA1844">
      <w:pPr>
        <w:autoSpaceDE w:val="0"/>
        <w:autoSpaceDN w:val="0"/>
        <w:adjustRightInd w:val="0"/>
        <w:rPr>
          <w:sz w:val="22"/>
        </w:rPr>
      </w:pPr>
      <w:r w:rsidRPr="007F4EE2">
        <w:rPr>
          <w:sz w:val="22"/>
        </w:rPr>
        <w:t xml:space="preserve">The updated calculation methodology reduces potential VOC emissions </w:t>
      </w:r>
      <w:r w:rsidR="004B695C">
        <w:rPr>
          <w:sz w:val="22"/>
        </w:rPr>
        <w:t xml:space="preserve">from those previously calculated </w:t>
      </w:r>
      <w:r w:rsidRPr="007F4EE2">
        <w:rPr>
          <w:sz w:val="22"/>
        </w:rPr>
        <w:t>for these emissions units as follows</w:t>
      </w:r>
      <w:r w:rsidR="000B1252">
        <w:rPr>
          <w:sz w:val="22"/>
        </w:rPr>
        <w:t xml:space="preserve">, </w:t>
      </w:r>
      <w:r w:rsidR="000B1252" w:rsidRPr="000B1252">
        <w:rPr>
          <w:b/>
          <w:sz w:val="22"/>
        </w:rPr>
        <w:t>Table E</w:t>
      </w:r>
      <w:r w:rsidRPr="007F4EE2">
        <w:rPr>
          <w:sz w:val="22"/>
        </w:rPr>
        <w:t>:</w:t>
      </w:r>
    </w:p>
    <w:p w14:paraId="6CB290A3" w14:textId="77777777" w:rsidR="007F4EE2" w:rsidRDefault="007F4EE2" w:rsidP="00CA1844">
      <w:pPr>
        <w:autoSpaceDE w:val="0"/>
        <w:autoSpaceDN w:val="0"/>
        <w:adjustRightInd w:val="0"/>
        <w:rPr>
          <w:b/>
          <w:sz w:val="22"/>
        </w:rPr>
      </w:pPr>
    </w:p>
    <w:tbl>
      <w:tblPr>
        <w:tblStyle w:val="TableGrid"/>
        <w:tblW w:w="0" w:type="auto"/>
        <w:tblLook w:val="04A0" w:firstRow="1" w:lastRow="0" w:firstColumn="1" w:lastColumn="0" w:noHBand="0" w:noVBand="1"/>
      </w:tblPr>
      <w:tblGrid>
        <w:gridCol w:w="3118"/>
        <w:gridCol w:w="1789"/>
        <w:gridCol w:w="1705"/>
        <w:gridCol w:w="1729"/>
        <w:gridCol w:w="1729"/>
      </w:tblGrid>
      <w:tr w:rsidR="007F4EE2" w:rsidRPr="00282DD5" w14:paraId="02DD6A3A" w14:textId="53BE1598" w:rsidTr="00C67A38">
        <w:tc>
          <w:tcPr>
            <w:tcW w:w="3118" w:type="dxa"/>
          </w:tcPr>
          <w:p w14:paraId="628FB175" w14:textId="77777777" w:rsidR="007F4EE2" w:rsidRPr="00282DD5" w:rsidRDefault="007F4EE2" w:rsidP="00C67A38">
            <w:pPr>
              <w:autoSpaceDE w:val="0"/>
              <w:autoSpaceDN w:val="0"/>
              <w:adjustRightInd w:val="0"/>
              <w:rPr>
                <w:b/>
                <w:sz w:val="22"/>
                <w:szCs w:val="22"/>
              </w:rPr>
            </w:pPr>
            <w:r w:rsidRPr="00282DD5">
              <w:rPr>
                <w:b/>
                <w:sz w:val="22"/>
                <w:szCs w:val="22"/>
              </w:rPr>
              <w:t>Emissions Unit</w:t>
            </w:r>
          </w:p>
        </w:tc>
        <w:tc>
          <w:tcPr>
            <w:tcW w:w="6952" w:type="dxa"/>
            <w:gridSpan w:val="4"/>
          </w:tcPr>
          <w:p w14:paraId="3E4F4F78" w14:textId="60BF077F" w:rsidR="007F4EE2" w:rsidRPr="00282DD5" w:rsidRDefault="007F4EE2" w:rsidP="00C67A38">
            <w:pPr>
              <w:autoSpaceDE w:val="0"/>
              <w:autoSpaceDN w:val="0"/>
              <w:adjustRightInd w:val="0"/>
              <w:jc w:val="center"/>
              <w:rPr>
                <w:b/>
                <w:sz w:val="22"/>
                <w:szCs w:val="22"/>
              </w:rPr>
            </w:pPr>
            <w:r w:rsidRPr="00282DD5">
              <w:rPr>
                <w:b/>
                <w:sz w:val="22"/>
                <w:szCs w:val="22"/>
              </w:rPr>
              <w:t>Potential Emissions (TPY)</w:t>
            </w:r>
          </w:p>
        </w:tc>
      </w:tr>
      <w:tr w:rsidR="007F4EE2" w:rsidRPr="00282DD5" w14:paraId="1E357BC9" w14:textId="03A893FA" w:rsidTr="007F4EE2">
        <w:tc>
          <w:tcPr>
            <w:tcW w:w="3118" w:type="dxa"/>
          </w:tcPr>
          <w:p w14:paraId="0340DD1C" w14:textId="77777777" w:rsidR="007F4EE2" w:rsidRPr="00282DD5" w:rsidRDefault="007F4EE2" w:rsidP="007F4EE2">
            <w:pPr>
              <w:autoSpaceDE w:val="0"/>
              <w:autoSpaceDN w:val="0"/>
              <w:adjustRightInd w:val="0"/>
              <w:rPr>
                <w:b/>
                <w:sz w:val="22"/>
                <w:szCs w:val="22"/>
              </w:rPr>
            </w:pPr>
          </w:p>
        </w:tc>
        <w:tc>
          <w:tcPr>
            <w:tcW w:w="1789" w:type="dxa"/>
          </w:tcPr>
          <w:p w14:paraId="6A6F2AD4" w14:textId="0A3952BB" w:rsidR="007F4EE2" w:rsidRPr="00282DD5" w:rsidRDefault="007F4EE2" w:rsidP="007F4EE2">
            <w:pPr>
              <w:autoSpaceDE w:val="0"/>
              <w:autoSpaceDN w:val="0"/>
              <w:adjustRightInd w:val="0"/>
              <w:jc w:val="center"/>
              <w:rPr>
                <w:b/>
                <w:sz w:val="22"/>
                <w:szCs w:val="22"/>
              </w:rPr>
            </w:pPr>
            <w:r>
              <w:rPr>
                <w:b/>
                <w:sz w:val="22"/>
                <w:szCs w:val="22"/>
              </w:rPr>
              <w:t xml:space="preserve">Current </w:t>
            </w:r>
            <w:r w:rsidRPr="00282DD5">
              <w:rPr>
                <w:b/>
                <w:sz w:val="22"/>
                <w:szCs w:val="22"/>
              </w:rPr>
              <w:t>VOC</w:t>
            </w:r>
          </w:p>
        </w:tc>
        <w:tc>
          <w:tcPr>
            <w:tcW w:w="1705" w:type="dxa"/>
          </w:tcPr>
          <w:p w14:paraId="45CAE592" w14:textId="38FB15C5" w:rsidR="007F4EE2" w:rsidRPr="00282DD5" w:rsidRDefault="007F4EE2" w:rsidP="007F4EE2">
            <w:pPr>
              <w:autoSpaceDE w:val="0"/>
              <w:autoSpaceDN w:val="0"/>
              <w:adjustRightInd w:val="0"/>
              <w:jc w:val="center"/>
              <w:rPr>
                <w:b/>
                <w:sz w:val="22"/>
                <w:szCs w:val="22"/>
              </w:rPr>
            </w:pPr>
            <w:r>
              <w:rPr>
                <w:b/>
                <w:sz w:val="22"/>
                <w:szCs w:val="22"/>
              </w:rPr>
              <w:t>New VOC using updated methodology</w:t>
            </w:r>
          </w:p>
        </w:tc>
        <w:tc>
          <w:tcPr>
            <w:tcW w:w="1729" w:type="dxa"/>
          </w:tcPr>
          <w:p w14:paraId="02D9DA5A" w14:textId="1B415F48" w:rsidR="007F4EE2" w:rsidRDefault="007F4EE2" w:rsidP="007F4EE2">
            <w:pPr>
              <w:autoSpaceDE w:val="0"/>
              <w:autoSpaceDN w:val="0"/>
              <w:adjustRightInd w:val="0"/>
              <w:jc w:val="center"/>
              <w:rPr>
                <w:b/>
                <w:sz w:val="22"/>
                <w:szCs w:val="22"/>
              </w:rPr>
            </w:pPr>
            <w:r>
              <w:rPr>
                <w:b/>
                <w:sz w:val="22"/>
                <w:szCs w:val="22"/>
              </w:rPr>
              <w:t>Current PM</w:t>
            </w:r>
            <w:r w:rsidR="002A1F08" w:rsidRPr="002A1F08">
              <w:rPr>
                <w:b/>
                <w:sz w:val="22"/>
                <w:szCs w:val="22"/>
                <w:vertAlign w:val="subscript"/>
              </w:rPr>
              <w:t>10</w:t>
            </w:r>
          </w:p>
        </w:tc>
        <w:tc>
          <w:tcPr>
            <w:tcW w:w="1729" w:type="dxa"/>
          </w:tcPr>
          <w:p w14:paraId="75418814" w14:textId="6AF5EE1D" w:rsidR="007F4EE2" w:rsidRDefault="007F4EE2" w:rsidP="007F4EE2">
            <w:pPr>
              <w:autoSpaceDE w:val="0"/>
              <w:autoSpaceDN w:val="0"/>
              <w:adjustRightInd w:val="0"/>
              <w:jc w:val="center"/>
              <w:rPr>
                <w:b/>
                <w:sz w:val="22"/>
                <w:szCs w:val="22"/>
              </w:rPr>
            </w:pPr>
            <w:r>
              <w:rPr>
                <w:b/>
                <w:sz w:val="22"/>
                <w:szCs w:val="22"/>
              </w:rPr>
              <w:t xml:space="preserve">New </w:t>
            </w:r>
            <w:r w:rsidR="002A1F08">
              <w:rPr>
                <w:b/>
                <w:sz w:val="22"/>
                <w:szCs w:val="22"/>
              </w:rPr>
              <w:t>PM</w:t>
            </w:r>
            <w:r w:rsidR="002A1F08" w:rsidRPr="002A1F08">
              <w:rPr>
                <w:b/>
                <w:sz w:val="22"/>
                <w:szCs w:val="22"/>
                <w:vertAlign w:val="subscript"/>
              </w:rPr>
              <w:t>10</w:t>
            </w:r>
            <w:r>
              <w:rPr>
                <w:b/>
                <w:sz w:val="22"/>
                <w:szCs w:val="22"/>
              </w:rPr>
              <w:t xml:space="preserve"> using updated methodology</w:t>
            </w:r>
          </w:p>
        </w:tc>
      </w:tr>
      <w:tr w:rsidR="007F4EE2" w:rsidRPr="00282DD5" w14:paraId="2CA151B2" w14:textId="6E0E5230" w:rsidTr="007F4EE2">
        <w:tc>
          <w:tcPr>
            <w:tcW w:w="3118" w:type="dxa"/>
          </w:tcPr>
          <w:p w14:paraId="04DAA23E" w14:textId="77777777" w:rsidR="007F4EE2" w:rsidRPr="00282DD5" w:rsidRDefault="007F4EE2" w:rsidP="00C67A38">
            <w:pPr>
              <w:autoSpaceDE w:val="0"/>
              <w:autoSpaceDN w:val="0"/>
              <w:adjustRightInd w:val="0"/>
              <w:rPr>
                <w:sz w:val="22"/>
                <w:szCs w:val="22"/>
              </w:rPr>
            </w:pPr>
            <w:r w:rsidRPr="00282DD5">
              <w:rPr>
                <w:sz w:val="22"/>
                <w:szCs w:val="22"/>
              </w:rPr>
              <w:t xml:space="preserve">Inedible Animal </w:t>
            </w:r>
            <w:r>
              <w:rPr>
                <w:sz w:val="22"/>
                <w:szCs w:val="22"/>
              </w:rPr>
              <w:t>B</w:t>
            </w:r>
            <w:r w:rsidRPr="00282DD5">
              <w:rPr>
                <w:sz w:val="22"/>
                <w:szCs w:val="22"/>
              </w:rPr>
              <w:t>y-products Protein Conversion Process Line #1 (EU 014)</w:t>
            </w:r>
          </w:p>
        </w:tc>
        <w:tc>
          <w:tcPr>
            <w:tcW w:w="1789" w:type="dxa"/>
          </w:tcPr>
          <w:p w14:paraId="528EDE4B" w14:textId="227730F1" w:rsidR="007F4EE2" w:rsidRPr="00282DD5" w:rsidRDefault="002A1F08" w:rsidP="00C67A38">
            <w:pPr>
              <w:autoSpaceDE w:val="0"/>
              <w:autoSpaceDN w:val="0"/>
              <w:adjustRightInd w:val="0"/>
              <w:jc w:val="center"/>
              <w:rPr>
                <w:sz w:val="22"/>
                <w:szCs w:val="22"/>
              </w:rPr>
            </w:pPr>
            <w:r>
              <w:rPr>
                <w:sz w:val="22"/>
                <w:szCs w:val="22"/>
              </w:rPr>
              <w:t>26.89</w:t>
            </w:r>
          </w:p>
        </w:tc>
        <w:tc>
          <w:tcPr>
            <w:tcW w:w="1705" w:type="dxa"/>
          </w:tcPr>
          <w:p w14:paraId="4DF2BECF" w14:textId="6F52CF31" w:rsidR="007F4EE2" w:rsidRPr="00282DD5" w:rsidRDefault="007F4EE2" w:rsidP="00C67A38">
            <w:pPr>
              <w:autoSpaceDE w:val="0"/>
              <w:autoSpaceDN w:val="0"/>
              <w:adjustRightInd w:val="0"/>
              <w:jc w:val="center"/>
              <w:rPr>
                <w:sz w:val="22"/>
                <w:szCs w:val="22"/>
              </w:rPr>
            </w:pPr>
            <w:r>
              <w:rPr>
                <w:sz w:val="22"/>
                <w:szCs w:val="22"/>
              </w:rPr>
              <w:t>5.38</w:t>
            </w:r>
          </w:p>
        </w:tc>
        <w:tc>
          <w:tcPr>
            <w:tcW w:w="1729" w:type="dxa"/>
          </w:tcPr>
          <w:p w14:paraId="0DD7D921" w14:textId="02C5BF74" w:rsidR="007F4EE2" w:rsidRDefault="002A1F08" w:rsidP="00C67A38">
            <w:pPr>
              <w:autoSpaceDE w:val="0"/>
              <w:autoSpaceDN w:val="0"/>
              <w:adjustRightInd w:val="0"/>
              <w:jc w:val="center"/>
              <w:rPr>
                <w:sz w:val="22"/>
                <w:szCs w:val="22"/>
              </w:rPr>
            </w:pPr>
            <w:r>
              <w:rPr>
                <w:sz w:val="22"/>
                <w:szCs w:val="22"/>
              </w:rPr>
              <w:t>0.63</w:t>
            </w:r>
            <w:r w:rsidR="00BA6B11" w:rsidRPr="00BA6B11">
              <w:rPr>
                <w:b/>
                <w:sz w:val="22"/>
                <w:szCs w:val="22"/>
                <w:vertAlign w:val="superscript"/>
              </w:rPr>
              <w:t>a</w:t>
            </w:r>
          </w:p>
        </w:tc>
        <w:tc>
          <w:tcPr>
            <w:tcW w:w="1729" w:type="dxa"/>
          </w:tcPr>
          <w:p w14:paraId="3673DD12" w14:textId="519D5136" w:rsidR="007F4EE2" w:rsidRDefault="002A1F08" w:rsidP="00C67A38">
            <w:pPr>
              <w:autoSpaceDE w:val="0"/>
              <w:autoSpaceDN w:val="0"/>
              <w:adjustRightInd w:val="0"/>
              <w:jc w:val="center"/>
              <w:rPr>
                <w:sz w:val="22"/>
                <w:szCs w:val="22"/>
              </w:rPr>
            </w:pPr>
            <w:r>
              <w:rPr>
                <w:sz w:val="22"/>
                <w:szCs w:val="22"/>
              </w:rPr>
              <w:t>1.32</w:t>
            </w:r>
          </w:p>
        </w:tc>
      </w:tr>
      <w:tr w:rsidR="007F4EE2" w:rsidRPr="00282DD5" w14:paraId="6D1B1780" w14:textId="15F4C918" w:rsidTr="007F4EE2">
        <w:tc>
          <w:tcPr>
            <w:tcW w:w="3118" w:type="dxa"/>
          </w:tcPr>
          <w:p w14:paraId="43C7E125" w14:textId="77777777" w:rsidR="007F4EE2" w:rsidRPr="00282DD5" w:rsidRDefault="007F4EE2" w:rsidP="00C67A38">
            <w:pPr>
              <w:autoSpaceDE w:val="0"/>
              <w:autoSpaceDN w:val="0"/>
              <w:adjustRightInd w:val="0"/>
              <w:rPr>
                <w:sz w:val="22"/>
                <w:szCs w:val="22"/>
              </w:rPr>
            </w:pPr>
            <w:r w:rsidRPr="00282DD5">
              <w:rPr>
                <w:sz w:val="22"/>
                <w:szCs w:val="22"/>
              </w:rPr>
              <w:t xml:space="preserve">Inedible Animal </w:t>
            </w:r>
            <w:r>
              <w:rPr>
                <w:sz w:val="22"/>
                <w:szCs w:val="22"/>
              </w:rPr>
              <w:t>B</w:t>
            </w:r>
            <w:r w:rsidRPr="00282DD5">
              <w:rPr>
                <w:sz w:val="22"/>
                <w:szCs w:val="22"/>
              </w:rPr>
              <w:t>y-products Protein Conversion Process Line #1 (EU 019)</w:t>
            </w:r>
          </w:p>
        </w:tc>
        <w:tc>
          <w:tcPr>
            <w:tcW w:w="1789" w:type="dxa"/>
          </w:tcPr>
          <w:p w14:paraId="66152D38" w14:textId="52AF6CB4" w:rsidR="007F4EE2" w:rsidRPr="00282DD5" w:rsidRDefault="007F4EE2" w:rsidP="00C67A38">
            <w:pPr>
              <w:autoSpaceDE w:val="0"/>
              <w:autoSpaceDN w:val="0"/>
              <w:adjustRightInd w:val="0"/>
              <w:jc w:val="center"/>
              <w:rPr>
                <w:sz w:val="22"/>
                <w:szCs w:val="22"/>
              </w:rPr>
            </w:pPr>
            <w:r>
              <w:rPr>
                <w:sz w:val="22"/>
                <w:szCs w:val="22"/>
              </w:rPr>
              <w:t>20.74</w:t>
            </w:r>
          </w:p>
        </w:tc>
        <w:tc>
          <w:tcPr>
            <w:tcW w:w="1705" w:type="dxa"/>
          </w:tcPr>
          <w:p w14:paraId="5574A2F2" w14:textId="006D9F1E" w:rsidR="007F4EE2" w:rsidRPr="00282DD5" w:rsidRDefault="007F4EE2" w:rsidP="00C67A38">
            <w:pPr>
              <w:autoSpaceDE w:val="0"/>
              <w:autoSpaceDN w:val="0"/>
              <w:adjustRightInd w:val="0"/>
              <w:jc w:val="center"/>
              <w:rPr>
                <w:sz w:val="22"/>
                <w:szCs w:val="22"/>
              </w:rPr>
            </w:pPr>
            <w:r>
              <w:rPr>
                <w:sz w:val="22"/>
                <w:szCs w:val="22"/>
              </w:rPr>
              <w:t>4.14</w:t>
            </w:r>
          </w:p>
        </w:tc>
        <w:tc>
          <w:tcPr>
            <w:tcW w:w="1729" w:type="dxa"/>
          </w:tcPr>
          <w:p w14:paraId="3220DCF8" w14:textId="3E1FEDF8" w:rsidR="007F4EE2" w:rsidRDefault="007F4EE2" w:rsidP="00C67A38">
            <w:pPr>
              <w:autoSpaceDE w:val="0"/>
              <w:autoSpaceDN w:val="0"/>
              <w:adjustRightInd w:val="0"/>
              <w:jc w:val="center"/>
              <w:rPr>
                <w:sz w:val="22"/>
                <w:szCs w:val="22"/>
              </w:rPr>
            </w:pPr>
            <w:r>
              <w:rPr>
                <w:sz w:val="22"/>
                <w:szCs w:val="22"/>
              </w:rPr>
              <w:t>0.44</w:t>
            </w:r>
            <w:r w:rsidR="00BA6B11" w:rsidRPr="00BA6B11">
              <w:rPr>
                <w:b/>
                <w:sz w:val="22"/>
                <w:szCs w:val="22"/>
                <w:vertAlign w:val="superscript"/>
              </w:rPr>
              <w:t xml:space="preserve"> a</w:t>
            </w:r>
          </w:p>
        </w:tc>
        <w:tc>
          <w:tcPr>
            <w:tcW w:w="1729" w:type="dxa"/>
          </w:tcPr>
          <w:p w14:paraId="6AD3511E" w14:textId="15A8D1D1" w:rsidR="007F4EE2" w:rsidRDefault="007F4EE2" w:rsidP="00C67A38">
            <w:pPr>
              <w:autoSpaceDE w:val="0"/>
              <w:autoSpaceDN w:val="0"/>
              <w:adjustRightInd w:val="0"/>
              <w:jc w:val="center"/>
              <w:rPr>
                <w:sz w:val="22"/>
                <w:szCs w:val="22"/>
              </w:rPr>
            </w:pPr>
            <w:r>
              <w:rPr>
                <w:sz w:val="22"/>
                <w:szCs w:val="22"/>
              </w:rPr>
              <w:t>1.02</w:t>
            </w:r>
          </w:p>
        </w:tc>
      </w:tr>
      <w:tr w:rsidR="007F4EE2" w:rsidRPr="00282DD5" w14:paraId="7C4CA44F" w14:textId="47DBDCF7" w:rsidTr="007F4EE2">
        <w:tc>
          <w:tcPr>
            <w:tcW w:w="3118" w:type="dxa"/>
          </w:tcPr>
          <w:p w14:paraId="436179BE" w14:textId="45CD25BE" w:rsidR="007F4EE2" w:rsidRPr="003701D1" w:rsidRDefault="0063222C" w:rsidP="00C67A38">
            <w:pPr>
              <w:autoSpaceDE w:val="0"/>
              <w:autoSpaceDN w:val="0"/>
              <w:adjustRightInd w:val="0"/>
              <w:rPr>
                <w:sz w:val="22"/>
                <w:szCs w:val="22"/>
              </w:rPr>
            </w:pPr>
            <w:r w:rsidRPr="004B54F3">
              <w:rPr>
                <w:bCs/>
                <w:sz w:val="22"/>
                <w:szCs w:val="22"/>
              </w:rPr>
              <w:t>Feather Protein Conversion Process Line</w:t>
            </w:r>
            <w:r w:rsidRPr="003701D1">
              <w:rPr>
                <w:sz w:val="22"/>
                <w:szCs w:val="22"/>
              </w:rPr>
              <w:t xml:space="preserve"> </w:t>
            </w:r>
            <w:r w:rsidR="007F4EE2" w:rsidRPr="003701D1">
              <w:rPr>
                <w:sz w:val="22"/>
                <w:szCs w:val="22"/>
              </w:rPr>
              <w:t>(EU 020)</w:t>
            </w:r>
          </w:p>
        </w:tc>
        <w:tc>
          <w:tcPr>
            <w:tcW w:w="1789" w:type="dxa"/>
          </w:tcPr>
          <w:p w14:paraId="0D884BC3" w14:textId="2506393B" w:rsidR="007F4EE2" w:rsidRPr="003701D1" w:rsidRDefault="007F4EE2" w:rsidP="00C67A38">
            <w:pPr>
              <w:autoSpaceDE w:val="0"/>
              <w:autoSpaceDN w:val="0"/>
              <w:adjustRightInd w:val="0"/>
              <w:jc w:val="center"/>
              <w:rPr>
                <w:sz w:val="22"/>
                <w:szCs w:val="22"/>
              </w:rPr>
            </w:pPr>
            <w:r w:rsidRPr="003701D1">
              <w:rPr>
                <w:sz w:val="22"/>
                <w:szCs w:val="22"/>
              </w:rPr>
              <w:t>---</w:t>
            </w:r>
          </w:p>
        </w:tc>
        <w:tc>
          <w:tcPr>
            <w:tcW w:w="1705" w:type="dxa"/>
          </w:tcPr>
          <w:p w14:paraId="40CF343B" w14:textId="41A66C33" w:rsidR="007F4EE2" w:rsidRPr="003701D1" w:rsidRDefault="007F4EE2" w:rsidP="00C67A38">
            <w:pPr>
              <w:autoSpaceDE w:val="0"/>
              <w:autoSpaceDN w:val="0"/>
              <w:adjustRightInd w:val="0"/>
              <w:jc w:val="center"/>
              <w:rPr>
                <w:sz w:val="22"/>
                <w:szCs w:val="22"/>
              </w:rPr>
            </w:pPr>
            <w:r w:rsidRPr="003701D1">
              <w:rPr>
                <w:sz w:val="22"/>
                <w:szCs w:val="22"/>
              </w:rPr>
              <w:t>2.71</w:t>
            </w:r>
          </w:p>
        </w:tc>
        <w:tc>
          <w:tcPr>
            <w:tcW w:w="1729" w:type="dxa"/>
          </w:tcPr>
          <w:p w14:paraId="29CA43B9" w14:textId="2891B739" w:rsidR="007F4EE2" w:rsidRDefault="007F4EE2" w:rsidP="00C67A38">
            <w:pPr>
              <w:autoSpaceDE w:val="0"/>
              <w:autoSpaceDN w:val="0"/>
              <w:adjustRightInd w:val="0"/>
              <w:jc w:val="center"/>
              <w:rPr>
                <w:sz w:val="22"/>
                <w:szCs w:val="22"/>
              </w:rPr>
            </w:pPr>
            <w:r>
              <w:rPr>
                <w:sz w:val="22"/>
                <w:szCs w:val="22"/>
              </w:rPr>
              <w:t>---</w:t>
            </w:r>
          </w:p>
        </w:tc>
        <w:tc>
          <w:tcPr>
            <w:tcW w:w="1729" w:type="dxa"/>
          </w:tcPr>
          <w:p w14:paraId="58B8CD51" w14:textId="792EBF40" w:rsidR="007F4EE2" w:rsidRDefault="007F4EE2" w:rsidP="00C67A38">
            <w:pPr>
              <w:autoSpaceDE w:val="0"/>
              <w:autoSpaceDN w:val="0"/>
              <w:adjustRightInd w:val="0"/>
              <w:jc w:val="center"/>
              <w:rPr>
                <w:sz w:val="22"/>
                <w:szCs w:val="22"/>
              </w:rPr>
            </w:pPr>
            <w:r>
              <w:rPr>
                <w:sz w:val="22"/>
                <w:szCs w:val="22"/>
              </w:rPr>
              <w:t>0.75</w:t>
            </w:r>
          </w:p>
        </w:tc>
      </w:tr>
      <w:tr w:rsidR="003701D1" w:rsidRPr="00282DD5" w14:paraId="2B46C489" w14:textId="77777777" w:rsidTr="003701D1">
        <w:tc>
          <w:tcPr>
            <w:tcW w:w="4907" w:type="dxa"/>
            <w:gridSpan w:val="2"/>
          </w:tcPr>
          <w:p w14:paraId="619EA394" w14:textId="4431128A" w:rsidR="003701D1" w:rsidRPr="003701D1" w:rsidRDefault="003701D1" w:rsidP="003701D1">
            <w:pPr>
              <w:autoSpaceDE w:val="0"/>
              <w:autoSpaceDN w:val="0"/>
              <w:adjustRightInd w:val="0"/>
              <w:rPr>
                <w:b/>
                <w:sz w:val="22"/>
                <w:szCs w:val="22"/>
              </w:rPr>
            </w:pPr>
            <w:r w:rsidRPr="003701D1">
              <w:rPr>
                <w:b/>
                <w:sz w:val="22"/>
                <w:szCs w:val="22"/>
              </w:rPr>
              <w:t>Reduction in Potential VOC emissions</w:t>
            </w:r>
          </w:p>
        </w:tc>
        <w:tc>
          <w:tcPr>
            <w:tcW w:w="1705" w:type="dxa"/>
          </w:tcPr>
          <w:p w14:paraId="1DF64187" w14:textId="54EE97A1" w:rsidR="003701D1" w:rsidRPr="003701D1" w:rsidRDefault="003701D1" w:rsidP="00C67A38">
            <w:pPr>
              <w:autoSpaceDE w:val="0"/>
              <w:autoSpaceDN w:val="0"/>
              <w:adjustRightInd w:val="0"/>
              <w:jc w:val="center"/>
              <w:rPr>
                <w:b/>
                <w:sz w:val="22"/>
                <w:szCs w:val="22"/>
              </w:rPr>
            </w:pPr>
            <w:r w:rsidRPr="003701D1">
              <w:rPr>
                <w:b/>
                <w:sz w:val="22"/>
                <w:szCs w:val="22"/>
              </w:rPr>
              <w:t>-35.4</w:t>
            </w:r>
          </w:p>
        </w:tc>
        <w:tc>
          <w:tcPr>
            <w:tcW w:w="1729" w:type="dxa"/>
          </w:tcPr>
          <w:p w14:paraId="0B3CACF1" w14:textId="29A12455" w:rsidR="003701D1" w:rsidRDefault="003701D1" w:rsidP="00C67A38">
            <w:pPr>
              <w:autoSpaceDE w:val="0"/>
              <w:autoSpaceDN w:val="0"/>
              <w:adjustRightInd w:val="0"/>
              <w:jc w:val="center"/>
              <w:rPr>
                <w:sz w:val="22"/>
                <w:szCs w:val="22"/>
              </w:rPr>
            </w:pPr>
            <w:r>
              <w:rPr>
                <w:sz w:val="22"/>
                <w:szCs w:val="22"/>
              </w:rPr>
              <w:t>---</w:t>
            </w:r>
          </w:p>
        </w:tc>
        <w:tc>
          <w:tcPr>
            <w:tcW w:w="1729" w:type="dxa"/>
          </w:tcPr>
          <w:p w14:paraId="31C3454F" w14:textId="25FB8F72" w:rsidR="003701D1" w:rsidRDefault="003701D1" w:rsidP="00C67A38">
            <w:pPr>
              <w:autoSpaceDE w:val="0"/>
              <w:autoSpaceDN w:val="0"/>
              <w:adjustRightInd w:val="0"/>
              <w:jc w:val="center"/>
              <w:rPr>
                <w:sz w:val="22"/>
                <w:szCs w:val="22"/>
              </w:rPr>
            </w:pPr>
            <w:r>
              <w:rPr>
                <w:sz w:val="22"/>
                <w:szCs w:val="22"/>
              </w:rPr>
              <w:t>--</w:t>
            </w:r>
          </w:p>
        </w:tc>
      </w:tr>
      <w:tr w:rsidR="003701D1" w:rsidRPr="00282DD5" w14:paraId="0957D3E1" w14:textId="77777777" w:rsidTr="003701D1">
        <w:tc>
          <w:tcPr>
            <w:tcW w:w="8341" w:type="dxa"/>
            <w:gridSpan w:val="4"/>
          </w:tcPr>
          <w:p w14:paraId="3AFFD63B" w14:textId="2A16A299" w:rsidR="003701D1" w:rsidRDefault="003701D1" w:rsidP="003701D1">
            <w:pPr>
              <w:autoSpaceDE w:val="0"/>
              <w:autoSpaceDN w:val="0"/>
              <w:adjustRightInd w:val="0"/>
              <w:rPr>
                <w:sz w:val="22"/>
                <w:szCs w:val="22"/>
              </w:rPr>
            </w:pPr>
            <w:r>
              <w:rPr>
                <w:b/>
                <w:sz w:val="22"/>
                <w:szCs w:val="22"/>
              </w:rPr>
              <w:t>Increase in Potential PM</w:t>
            </w:r>
            <w:r w:rsidRPr="003701D1">
              <w:rPr>
                <w:b/>
                <w:sz w:val="22"/>
                <w:szCs w:val="22"/>
                <w:vertAlign w:val="subscript"/>
              </w:rPr>
              <w:t>10</w:t>
            </w:r>
            <w:r>
              <w:rPr>
                <w:b/>
                <w:sz w:val="22"/>
                <w:szCs w:val="22"/>
              </w:rPr>
              <w:t xml:space="preserve"> emissions</w:t>
            </w:r>
          </w:p>
        </w:tc>
        <w:tc>
          <w:tcPr>
            <w:tcW w:w="1729" w:type="dxa"/>
          </w:tcPr>
          <w:p w14:paraId="03CA7785" w14:textId="6E9EF519" w:rsidR="003701D1" w:rsidRPr="003701D1" w:rsidRDefault="003701D1" w:rsidP="00C67A38">
            <w:pPr>
              <w:autoSpaceDE w:val="0"/>
              <w:autoSpaceDN w:val="0"/>
              <w:adjustRightInd w:val="0"/>
              <w:jc w:val="center"/>
              <w:rPr>
                <w:b/>
                <w:sz w:val="22"/>
                <w:szCs w:val="22"/>
              </w:rPr>
            </w:pPr>
            <w:r w:rsidRPr="003701D1">
              <w:rPr>
                <w:b/>
                <w:sz w:val="22"/>
                <w:szCs w:val="22"/>
              </w:rPr>
              <w:t>+2.02</w:t>
            </w:r>
          </w:p>
        </w:tc>
      </w:tr>
    </w:tbl>
    <w:p w14:paraId="5439916D" w14:textId="1E40B0F4" w:rsidR="00CF59F5" w:rsidRPr="00BA6B11" w:rsidRDefault="00BA6B11" w:rsidP="00BA6B11">
      <w:pPr>
        <w:pStyle w:val="BodyText"/>
        <w:spacing w:before="120"/>
        <w:ind w:left="90" w:hanging="90"/>
        <w:rPr>
          <w:b/>
          <w:sz w:val="22"/>
        </w:rPr>
      </w:pPr>
      <w:r w:rsidRPr="00BA6B11">
        <w:rPr>
          <w:b/>
          <w:sz w:val="22"/>
          <w:szCs w:val="22"/>
          <w:vertAlign w:val="superscript"/>
        </w:rPr>
        <w:t>a</w:t>
      </w:r>
      <w:r>
        <w:rPr>
          <w:b/>
          <w:sz w:val="22"/>
          <w:szCs w:val="22"/>
          <w:vertAlign w:val="superscript"/>
        </w:rPr>
        <w:t xml:space="preserve"> </w:t>
      </w:r>
      <w:r w:rsidRPr="00BA6B11">
        <w:rPr>
          <w:sz w:val="20"/>
        </w:rPr>
        <w:t>Based on material throughput which was based on water evaporation rate, continuous operation, and internal testing PM emission rate of 0.23 lb/hr. PM was assumed to equal PM</w:t>
      </w:r>
      <w:r w:rsidRPr="00BA6B11">
        <w:rPr>
          <w:sz w:val="20"/>
          <w:vertAlign w:val="subscript"/>
        </w:rPr>
        <w:t>10</w:t>
      </w:r>
      <w:r w:rsidRPr="00BA6B11">
        <w:rPr>
          <w:sz w:val="20"/>
        </w:rPr>
        <w:t>.</w:t>
      </w:r>
    </w:p>
    <w:p w14:paraId="3F8CF2D7" w14:textId="5DA27255" w:rsidR="003701D1" w:rsidRPr="006F72A3" w:rsidRDefault="006F72A3">
      <w:pPr>
        <w:rPr>
          <w:sz w:val="22"/>
        </w:rPr>
      </w:pPr>
      <w:r w:rsidRPr="006F72A3">
        <w:rPr>
          <w:sz w:val="22"/>
        </w:rPr>
        <w:t>It is noted that EU 014 and EU 019 are listed in Appendix U of the Title V Permit, No. 0070004-023-AV.  Because these emissions units, along with the new EU 020 are sources of VOC emissions and the facility has requested a facility-wide VOC emissions cap as a part of this project, EU 014, EU 019, and EU 020 will no longer be considered Unregulated Emissions Units in the Title V Operation permit.  These emissions units now emit an “emissions-limited pollutant”</w:t>
      </w:r>
      <w:r w:rsidR="00140DCB">
        <w:rPr>
          <w:sz w:val="22"/>
        </w:rPr>
        <w:t xml:space="preserve"> [refer to Application for Air Permit – Long Form Instructions, DEP Form No. 62-210.900(1) – Instructions]</w:t>
      </w:r>
      <w:r w:rsidR="00C8013B">
        <w:rPr>
          <w:sz w:val="22"/>
        </w:rPr>
        <w:t>.  The actual VOC emissions from these EUs</w:t>
      </w:r>
      <w:r w:rsidRPr="006F72A3">
        <w:rPr>
          <w:sz w:val="22"/>
        </w:rPr>
        <w:t xml:space="preserve"> in combination with other emissions units at the facility </w:t>
      </w:r>
      <w:r w:rsidR="00C8013B">
        <w:rPr>
          <w:sz w:val="22"/>
        </w:rPr>
        <w:t>are to be determined to demonstrate compliance with the requested facility-wide VOC emissions cap.</w:t>
      </w:r>
      <w:r w:rsidR="003701D1" w:rsidRPr="006F72A3">
        <w:rPr>
          <w:sz w:val="22"/>
        </w:rPr>
        <w:br w:type="page"/>
      </w:r>
    </w:p>
    <w:p w14:paraId="1D4CFFB1" w14:textId="13AFB098" w:rsidR="00CF59F5" w:rsidRDefault="00831B42" w:rsidP="003570EA">
      <w:pPr>
        <w:pStyle w:val="BodyText"/>
        <w:ind w:left="900" w:hanging="900"/>
        <w:jc w:val="center"/>
        <w:rPr>
          <w:b/>
          <w:sz w:val="22"/>
        </w:rPr>
      </w:pPr>
      <w:r>
        <w:rPr>
          <w:b/>
          <w:sz w:val="22"/>
        </w:rPr>
        <w:lastRenderedPageBreak/>
        <w:t>TABLE</w:t>
      </w:r>
      <w:r w:rsidR="000B1252">
        <w:rPr>
          <w:b/>
          <w:sz w:val="22"/>
        </w:rPr>
        <w:t xml:space="preserve"> F</w:t>
      </w:r>
    </w:p>
    <w:p w14:paraId="0C1D0565" w14:textId="6B51E191" w:rsidR="0098654D" w:rsidRPr="004300DF" w:rsidRDefault="000C6601" w:rsidP="003570EA">
      <w:pPr>
        <w:pStyle w:val="BodyText"/>
        <w:ind w:left="900" w:hanging="900"/>
        <w:jc w:val="center"/>
        <w:rPr>
          <w:b/>
          <w:sz w:val="22"/>
        </w:rPr>
      </w:pPr>
      <w:r>
        <w:rPr>
          <w:b/>
          <w:sz w:val="22"/>
        </w:rPr>
        <w:t xml:space="preserve">As provided in the application, </w:t>
      </w:r>
      <w:r w:rsidR="002646F0">
        <w:rPr>
          <w:b/>
          <w:sz w:val="22"/>
        </w:rPr>
        <w:t xml:space="preserve">Updated Facility-Wide Potential Emissions </w:t>
      </w:r>
      <w:r>
        <w:rPr>
          <w:b/>
          <w:sz w:val="22"/>
        </w:rPr>
        <w:t>Summary</w:t>
      </w:r>
    </w:p>
    <w:tbl>
      <w:tblPr>
        <w:tblW w:w="114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120"/>
        <w:gridCol w:w="810"/>
        <w:gridCol w:w="650"/>
        <w:gridCol w:w="790"/>
        <w:gridCol w:w="830"/>
        <w:gridCol w:w="720"/>
        <w:gridCol w:w="990"/>
        <w:gridCol w:w="1170"/>
        <w:gridCol w:w="1260"/>
        <w:gridCol w:w="1080"/>
      </w:tblGrid>
      <w:tr w:rsidR="0093587E" w:rsidRPr="008B6878" w14:paraId="7A763FDC" w14:textId="77777777" w:rsidTr="00B93B57">
        <w:trPr>
          <w:trHeight w:val="690"/>
          <w:jc w:val="center"/>
        </w:trPr>
        <w:tc>
          <w:tcPr>
            <w:tcW w:w="3120" w:type="dxa"/>
            <w:shd w:val="clear" w:color="auto" w:fill="auto"/>
            <w:noWrap/>
            <w:tcMar>
              <w:left w:w="58" w:type="dxa"/>
              <w:right w:w="58" w:type="dxa"/>
            </w:tcMar>
            <w:vAlign w:val="center"/>
            <w:hideMark/>
          </w:tcPr>
          <w:p w14:paraId="42F79111" w14:textId="597AB936" w:rsidR="0093587E" w:rsidRPr="00DD33DD" w:rsidRDefault="00DD33DD" w:rsidP="002646F0">
            <w:pPr>
              <w:rPr>
                <w:rFonts w:cs="Arial"/>
                <w:b/>
                <w:color w:val="000000"/>
              </w:rPr>
            </w:pPr>
            <w:r w:rsidRPr="00DD33DD">
              <w:rPr>
                <w:rFonts w:cs="Arial"/>
                <w:b/>
                <w:color w:val="000000"/>
              </w:rPr>
              <w:t>Emissions Unit</w:t>
            </w:r>
          </w:p>
        </w:tc>
        <w:tc>
          <w:tcPr>
            <w:tcW w:w="810" w:type="dxa"/>
            <w:shd w:val="clear" w:color="auto" w:fill="auto"/>
            <w:tcMar>
              <w:left w:w="58" w:type="dxa"/>
              <w:right w:w="58" w:type="dxa"/>
            </w:tcMar>
            <w:vAlign w:val="center"/>
            <w:hideMark/>
          </w:tcPr>
          <w:p w14:paraId="2E8507ED" w14:textId="77777777" w:rsidR="0093587E" w:rsidRPr="008B6878" w:rsidRDefault="0093587E" w:rsidP="002646F0">
            <w:pPr>
              <w:jc w:val="center"/>
              <w:rPr>
                <w:rFonts w:cs="Arial"/>
                <w:b/>
                <w:color w:val="000000"/>
              </w:rPr>
            </w:pPr>
            <w:r w:rsidRPr="008B6878">
              <w:rPr>
                <w:rFonts w:cs="Arial"/>
                <w:b/>
                <w:color w:val="000000"/>
              </w:rPr>
              <w:t>CO</w:t>
            </w:r>
            <w:r w:rsidRPr="008B6878">
              <w:rPr>
                <w:rFonts w:cs="Arial"/>
                <w:b/>
                <w:color w:val="000000"/>
              </w:rPr>
              <w:br/>
              <w:t>(tons)</w:t>
            </w:r>
          </w:p>
        </w:tc>
        <w:tc>
          <w:tcPr>
            <w:tcW w:w="650" w:type="dxa"/>
            <w:shd w:val="clear" w:color="auto" w:fill="auto"/>
            <w:tcMar>
              <w:left w:w="58" w:type="dxa"/>
              <w:right w:w="58" w:type="dxa"/>
            </w:tcMar>
            <w:vAlign w:val="center"/>
            <w:hideMark/>
          </w:tcPr>
          <w:p w14:paraId="408DE544" w14:textId="77777777" w:rsidR="0093587E" w:rsidRPr="008B6878" w:rsidRDefault="0093587E" w:rsidP="002646F0">
            <w:pPr>
              <w:jc w:val="center"/>
              <w:rPr>
                <w:rFonts w:cs="Arial"/>
                <w:b/>
                <w:color w:val="000000"/>
              </w:rPr>
            </w:pPr>
            <w:r w:rsidRPr="008B6878">
              <w:rPr>
                <w:rFonts w:cs="Arial"/>
                <w:b/>
                <w:color w:val="000000"/>
              </w:rPr>
              <w:t>NO</w:t>
            </w:r>
            <w:r w:rsidRPr="008B6878">
              <w:rPr>
                <w:rFonts w:cs="Arial"/>
                <w:b/>
                <w:color w:val="000000"/>
                <w:vertAlign w:val="subscript"/>
              </w:rPr>
              <w:t>x</w:t>
            </w:r>
            <w:r w:rsidRPr="008B6878">
              <w:rPr>
                <w:rFonts w:cs="Arial"/>
                <w:b/>
                <w:color w:val="000000"/>
              </w:rPr>
              <w:br/>
              <w:t>(tons)</w:t>
            </w:r>
          </w:p>
        </w:tc>
        <w:tc>
          <w:tcPr>
            <w:tcW w:w="790" w:type="dxa"/>
            <w:vAlign w:val="center"/>
          </w:tcPr>
          <w:p w14:paraId="7246E0BE" w14:textId="6C00CBCA" w:rsidR="0093587E" w:rsidRPr="008B6878" w:rsidRDefault="0093587E" w:rsidP="002646F0">
            <w:pPr>
              <w:jc w:val="center"/>
              <w:rPr>
                <w:rFonts w:cs="Arial"/>
                <w:b/>
                <w:color w:val="000000"/>
              </w:rPr>
            </w:pPr>
            <w:r w:rsidRPr="008B6878">
              <w:rPr>
                <w:rFonts w:cs="Arial"/>
                <w:b/>
                <w:color w:val="000000"/>
              </w:rPr>
              <w:t>SO</w:t>
            </w:r>
            <w:r w:rsidRPr="008B6878">
              <w:rPr>
                <w:rFonts w:cs="Arial"/>
                <w:b/>
                <w:color w:val="000000"/>
                <w:vertAlign w:val="subscript"/>
              </w:rPr>
              <w:t>2</w:t>
            </w:r>
            <w:r w:rsidRPr="008B6878">
              <w:rPr>
                <w:rFonts w:cs="Arial"/>
                <w:b/>
                <w:color w:val="000000"/>
              </w:rPr>
              <w:br/>
              <w:t>(tons)</w:t>
            </w:r>
          </w:p>
        </w:tc>
        <w:tc>
          <w:tcPr>
            <w:tcW w:w="830" w:type="dxa"/>
            <w:vAlign w:val="center"/>
          </w:tcPr>
          <w:p w14:paraId="36E55E19" w14:textId="77777777" w:rsidR="0093587E" w:rsidRDefault="0093587E" w:rsidP="002646F0">
            <w:pPr>
              <w:jc w:val="center"/>
              <w:rPr>
                <w:rFonts w:cs="Arial"/>
                <w:b/>
                <w:color w:val="000000"/>
                <w:vertAlign w:val="subscript"/>
              </w:rPr>
            </w:pPr>
            <w:r w:rsidRPr="008B6878">
              <w:rPr>
                <w:rFonts w:cs="Arial"/>
                <w:b/>
                <w:color w:val="000000"/>
              </w:rPr>
              <w:t>PM</w:t>
            </w:r>
            <w:r w:rsidRPr="008B6878">
              <w:rPr>
                <w:rFonts w:cs="Arial"/>
                <w:b/>
                <w:color w:val="000000"/>
                <w:vertAlign w:val="subscript"/>
              </w:rPr>
              <w:t>10</w:t>
            </w:r>
          </w:p>
          <w:p w14:paraId="3DDB7D6A" w14:textId="1857A453" w:rsidR="0093587E" w:rsidRPr="002646F0" w:rsidRDefault="0093587E" w:rsidP="002646F0">
            <w:pPr>
              <w:jc w:val="center"/>
              <w:rPr>
                <w:rFonts w:cs="Arial"/>
                <w:b/>
                <w:color w:val="000000"/>
              </w:rPr>
            </w:pPr>
            <w:r w:rsidRPr="002646F0">
              <w:rPr>
                <w:rFonts w:cs="Arial"/>
                <w:b/>
                <w:color w:val="000000"/>
              </w:rPr>
              <w:t>(tons)</w:t>
            </w:r>
          </w:p>
        </w:tc>
        <w:tc>
          <w:tcPr>
            <w:tcW w:w="720" w:type="dxa"/>
            <w:shd w:val="clear" w:color="auto" w:fill="auto"/>
            <w:tcMar>
              <w:left w:w="58" w:type="dxa"/>
              <w:right w:w="58" w:type="dxa"/>
            </w:tcMar>
            <w:vAlign w:val="center"/>
            <w:hideMark/>
          </w:tcPr>
          <w:p w14:paraId="29CF5CAC" w14:textId="6A180785" w:rsidR="0093587E" w:rsidRPr="008B6878" w:rsidRDefault="0093587E" w:rsidP="002646F0">
            <w:pPr>
              <w:jc w:val="center"/>
              <w:rPr>
                <w:rFonts w:cs="Arial"/>
                <w:b/>
                <w:color w:val="000000"/>
              </w:rPr>
            </w:pPr>
            <w:r w:rsidRPr="008B6878">
              <w:rPr>
                <w:rFonts w:cs="Arial"/>
                <w:b/>
                <w:color w:val="000000"/>
              </w:rPr>
              <w:t>PM</w:t>
            </w:r>
            <w:r w:rsidRPr="008B6878">
              <w:rPr>
                <w:rFonts w:cs="Arial"/>
                <w:b/>
                <w:color w:val="000000"/>
                <w:vertAlign w:val="subscript"/>
              </w:rPr>
              <w:t>2.5</w:t>
            </w:r>
            <w:r w:rsidRPr="008B6878">
              <w:rPr>
                <w:rFonts w:cs="Arial"/>
                <w:b/>
                <w:color w:val="000000"/>
              </w:rPr>
              <w:br/>
              <w:t>(tons)</w:t>
            </w:r>
          </w:p>
        </w:tc>
        <w:tc>
          <w:tcPr>
            <w:tcW w:w="990" w:type="dxa"/>
            <w:shd w:val="clear" w:color="auto" w:fill="auto"/>
            <w:tcMar>
              <w:left w:w="58" w:type="dxa"/>
              <w:right w:w="58" w:type="dxa"/>
            </w:tcMar>
            <w:vAlign w:val="center"/>
            <w:hideMark/>
          </w:tcPr>
          <w:p w14:paraId="1322EE5B" w14:textId="77777777" w:rsidR="0093587E" w:rsidRPr="008B6878" w:rsidRDefault="0093587E" w:rsidP="002646F0">
            <w:pPr>
              <w:jc w:val="center"/>
              <w:rPr>
                <w:rFonts w:cs="Arial"/>
                <w:b/>
                <w:color w:val="000000"/>
              </w:rPr>
            </w:pPr>
            <w:r w:rsidRPr="008B6878">
              <w:rPr>
                <w:rFonts w:cs="Arial"/>
                <w:b/>
                <w:color w:val="000000"/>
              </w:rPr>
              <w:t>VOC</w:t>
            </w:r>
            <w:r w:rsidRPr="008B6878">
              <w:rPr>
                <w:rFonts w:cs="Arial"/>
                <w:b/>
                <w:color w:val="000000"/>
              </w:rPr>
              <w:br/>
              <w:t>(tons)</w:t>
            </w:r>
          </w:p>
        </w:tc>
        <w:tc>
          <w:tcPr>
            <w:tcW w:w="1170" w:type="dxa"/>
          </w:tcPr>
          <w:p w14:paraId="54464182" w14:textId="009F8A54" w:rsidR="0093587E" w:rsidRPr="008B6878" w:rsidRDefault="0093587E" w:rsidP="002646F0">
            <w:pPr>
              <w:jc w:val="center"/>
              <w:rPr>
                <w:rFonts w:cs="Arial"/>
                <w:b/>
                <w:color w:val="000000"/>
              </w:rPr>
            </w:pPr>
            <w:r>
              <w:rPr>
                <w:rFonts w:cs="Arial"/>
                <w:b/>
                <w:color w:val="000000"/>
              </w:rPr>
              <w:t>n-hexane</w:t>
            </w:r>
          </w:p>
        </w:tc>
        <w:tc>
          <w:tcPr>
            <w:tcW w:w="1260" w:type="dxa"/>
          </w:tcPr>
          <w:p w14:paraId="3E1ED18E" w14:textId="2E036BAB" w:rsidR="0093587E" w:rsidRPr="008B6878" w:rsidRDefault="0093587E" w:rsidP="002646F0">
            <w:pPr>
              <w:jc w:val="center"/>
              <w:rPr>
                <w:rFonts w:cs="Arial"/>
                <w:b/>
                <w:color w:val="000000"/>
              </w:rPr>
            </w:pPr>
            <w:r w:rsidRPr="008B6878">
              <w:rPr>
                <w:rFonts w:cs="Arial"/>
                <w:b/>
                <w:color w:val="000000"/>
              </w:rPr>
              <w:t>Total HAP</w:t>
            </w:r>
          </w:p>
        </w:tc>
        <w:tc>
          <w:tcPr>
            <w:tcW w:w="1080" w:type="dxa"/>
          </w:tcPr>
          <w:p w14:paraId="3F5A0CC7" w14:textId="77777777" w:rsidR="0093587E" w:rsidRPr="008B6878" w:rsidRDefault="0093587E" w:rsidP="002646F0">
            <w:pPr>
              <w:pStyle w:val="BodyText"/>
              <w:widowControl w:val="0"/>
              <w:spacing w:after="0"/>
              <w:jc w:val="center"/>
              <w:rPr>
                <w:b/>
                <w:sz w:val="20"/>
              </w:rPr>
            </w:pPr>
            <w:r w:rsidRPr="008B6878">
              <w:rPr>
                <w:b/>
                <w:sz w:val="20"/>
              </w:rPr>
              <w:t>CO</w:t>
            </w:r>
            <w:r w:rsidRPr="008B6878">
              <w:rPr>
                <w:b/>
                <w:sz w:val="20"/>
                <w:vertAlign w:val="subscript"/>
              </w:rPr>
              <w:t>2</w:t>
            </w:r>
            <w:r w:rsidRPr="008B6878">
              <w:rPr>
                <w:b/>
                <w:sz w:val="20"/>
              </w:rPr>
              <w:t>e</w:t>
            </w:r>
          </w:p>
          <w:p w14:paraId="7CA9001C" w14:textId="77777777" w:rsidR="0093587E" w:rsidRPr="008B6878" w:rsidRDefault="0093587E" w:rsidP="002646F0">
            <w:pPr>
              <w:jc w:val="center"/>
              <w:rPr>
                <w:rFonts w:cs="Arial"/>
                <w:b/>
                <w:color w:val="000000"/>
              </w:rPr>
            </w:pPr>
          </w:p>
        </w:tc>
      </w:tr>
      <w:tr w:rsidR="0093587E" w:rsidRPr="008B6878" w14:paraId="49A538A0" w14:textId="77777777" w:rsidTr="00B93B57">
        <w:trPr>
          <w:trHeight w:val="360"/>
          <w:jc w:val="center"/>
        </w:trPr>
        <w:tc>
          <w:tcPr>
            <w:tcW w:w="3120" w:type="dxa"/>
            <w:shd w:val="clear" w:color="auto" w:fill="auto"/>
            <w:noWrap/>
            <w:tcMar>
              <w:left w:w="58" w:type="dxa"/>
              <w:right w:w="58" w:type="dxa"/>
            </w:tcMar>
            <w:vAlign w:val="center"/>
          </w:tcPr>
          <w:p w14:paraId="46145663" w14:textId="7AE09DD7" w:rsidR="0093587E" w:rsidRPr="008B6878" w:rsidRDefault="0093587E" w:rsidP="002646F0">
            <w:pPr>
              <w:rPr>
                <w:rFonts w:cs="Arial"/>
                <w:color w:val="000000"/>
              </w:rPr>
            </w:pPr>
            <w:r w:rsidRPr="0093587E">
              <w:rPr>
                <w:rFonts w:cs="Arial"/>
                <w:color w:val="000000"/>
              </w:rPr>
              <w:t>Inedible Animal By</w:t>
            </w:r>
            <w:r w:rsidRPr="0093587E">
              <w:rPr>
                <w:rFonts w:ascii="Cambria Math" w:hAnsi="Cambria Math" w:cs="Cambria Math"/>
                <w:color w:val="000000"/>
              </w:rPr>
              <w:t>‐</w:t>
            </w:r>
            <w:r w:rsidRPr="0093587E">
              <w:rPr>
                <w:rFonts w:cs="Arial"/>
                <w:color w:val="000000"/>
              </w:rPr>
              <w:t>products Protein Conversion Process Line #1</w:t>
            </w:r>
            <w:r>
              <w:rPr>
                <w:rFonts w:cs="Arial"/>
                <w:color w:val="000000"/>
              </w:rPr>
              <w:t xml:space="preserve"> (EU 014)</w:t>
            </w:r>
          </w:p>
        </w:tc>
        <w:tc>
          <w:tcPr>
            <w:tcW w:w="810" w:type="dxa"/>
            <w:shd w:val="clear" w:color="auto" w:fill="auto"/>
            <w:tcMar>
              <w:left w:w="58" w:type="dxa"/>
              <w:right w:w="58" w:type="dxa"/>
            </w:tcMar>
            <w:vAlign w:val="center"/>
          </w:tcPr>
          <w:p w14:paraId="1542DE5F" w14:textId="0964E9D3" w:rsidR="0093587E" w:rsidRDefault="00FB2510" w:rsidP="002646F0">
            <w:pPr>
              <w:jc w:val="center"/>
              <w:rPr>
                <w:rFonts w:cs="Arial"/>
                <w:color w:val="000000"/>
              </w:rPr>
            </w:pPr>
            <w:r>
              <w:rPr>
                <w:rFonts w:cs="Arial"/>
                <w:color w:val="000000"/>
              </w:rPr>
              <w:t>---</w:t>
            </w:r>
          </w:p>
        </w:tc>
        <w:tc>
          <w:tcPr>
            <w:tcW w:w="650" w:type="dxa"/>
            <w:shd w:val="clear" w:color="auto" w:fill="auto"/>
            <w:tcMar>
              <w:left w:w="58" w:type="dxa"/>
              <w:right w:w="58" w:type="dxa"/>
            </w:tcMar>
            <w:vAlign w:val="center"/>
          </w:tcPr>
          <w:p w14:paraId="4159A426" w14:textId="58926541" w:rsidR="0093587E" w:rsidRDefault="00FB2510" w:rsidP="002646F0">
            <w:pPr>
              <w:jc w:val="center"/>
              <w:rPr>
                <w:rFonts w:cs="Arial"/>
                <w:color w:val="000000"/>
              </w:rPr>
            </w:pPr>
            <w:r>
              <w:rPr>
                <w:rFonts w:cs="Arial"/>
                <w:color w:val="000000"/>
              </w:rPr>
              <w:t>---</w:t>
            </w:r>
          </w:p>
        </w:tc>
        <w:tc>
          <w:tcPr>
            <w:tcW w:w="790" w:type="dxa"/>
            <w:vAlign w:val="center"/>
          </w:tcPr>
          <w:p w14:paraId="26FB2424" w14:textId="411EB564" w:rsidR="0093587E" w:rsidRDefault="00FB2510" w:rsidP="002646F0">
            <w:pPr>
              <w:jc w:val="center"/>
              <w:rPr>
                <w:rFonts w:cs="Arial"/>
                <w:color w:val="000000"/>
              </w:rPr>
            </w:pPr>
            <w:r>
              <w:rPr>
                <w:rFonts w:cs="Arial"/>
                <w:color w:val="000000"/>
              </w:rPr>
              <w:t>---</w:t>
            </w:r>
          </w:p>
        </w:tc>
        <w:tc>
          <w:tcPr>
            <w:tcW w:w="830" w:type="dxa"/>
            <w:vAlign w:val="center"/>
          </w:tcPr>
          <w:p w14:paraId="0BA646DB" w14:textId="1614388B" w:rsidR="0093587E" w:rsidRDefault="0093587E" w:rsidP="002646F0">
            <w:pPr>
              <w:jc w:val="center"/>
              <w:rPr>
                <w:rFonts w:cs="Arial"/>
                <w:color w:val="000000"/>
              </w:rPr>
            </w:pPr>
            <w:r>
              <w:rPr>
                <w:rFonts w:cs="Arial"/>
                <w:color w:val="000000"/>
              </w:rPr>
              <w:t>1.31</w:t>
            </w:r>
          </w:p>
        </w:tc>
        <w:tc>
          <w:tcPr>
            <w:tcW w:w="720" w:type="dxa"/>
            <w:shd w:val="clear" w:color="auto" w:fill="auto"/>
            <w:tcMar>
              <w:left w:w="58" w:type="dxa"/>
              <w:right w:w="58" w:type="dxa"/>
            </w:tcMar>
            <w:vAlign w:val="center"/>
          </w:tcPr>
          <w:p w14:paraId="04F907DE" w14:textId="0CB6E3D3" w:rsidR="0093587E" w:rsidRDefault="00FB2510" w:rsidP="002646F0">
            <w:pPr>
              <w:jc w:val="center"/>
              <w:rPr>
                <w:rFonts w:cs="Arial"/>
                <w:color w:val="000000"/>
              </w:rPr>
            </w:pPr>
            <w:r>
              <w:rPr>
                <w:rFonts w:cs="Arial"/>
                <w:color w:val="000000"/>
              </w:rPr>
              <w:t>0.50</w:t>
            </w:r>
          </w:p>
        </w:tc>
        <w:tc>
          <w:tcPr>
            <w:tcW w:w="990" w:type="dxa"/>
            <w:shd w:val="clear" w:color="auto" w:fill="auto"/>
            <w:tcMar>
              <w:left w:w="58" w:type="dxa"/>
              <w:right w:w="58" w:type="dxa"/>
            </w:tcMar>
            <w:vAlign w:val="center"/>
          </w:tcPr>
          <w:p w14:paraId="60AF8DFD" w14:textId="50AF1F95" w:rsidR="0093587E" w:rsidRDefault="00FB2510" w:rsidP="00FA5049">
            <w:pPr>
              <w:jc w:val="center"/>
              <w:rPr>
                <w:rFonts w:cs="Arial"/>
                <w:color w:val="000000"/>
              </w:rPr>
            </w:pPr>
            <w:r>
              <w:rPr>
                <w:rFonts w:cs="Arial"/>
                <w:color w:val="000000"/>
              </w:rPr>
              <w:t>5.3</w:t>
            </w:r>
            <w:r w:rsidR="00FA5049">
              <w:rPr>
                <w:rFonts w:cs="Arial"/>
                <w:color w:val="000000"/>
              </w:rPr>
              <w:t>8</w:t>
            </w:r>
          </w:p>
        </w:tc>
        <w:tc>
          <w:tcPr>
            <w:tcW w:w="1170" w:type="dxa"/>
          </w:tcPr>
          <w:p w14:paraId="4A308C3F" w14:textId="083515E2" w:rsidR="0093587E" w:rsidRDefault="00FB2510" w:rsidP="002646F0">
            <w:pPr>
              <w:jc w:val="center"/>
              <w:rPr>
                <w:rFonts w:cs="Arial"/>
                <w:color w:val="000000"/>
              </w:rPr>
            </w:pPr>
            <w:r>
              <w:rPr>
                <w:rFonts w:cs="Arial"/>
                <w:color w:val="000000"/>
              </w:rPr>
              <w:t>---</w:t>
            </w:r>
          </w:p>
        </w:tc>
        <w:tc>
          <w:tcPr>
            <w:tcW w:w="1260" w:type="dxa"/>
          </w:tcPr>
          <w:p w14:paraId="49E7018B" w14:textId="7A20C1D8" w:rsidR="0093587E" w:rsidRDefault="00FB2510" w:rsidP="002646F0">
            <w:pPr>
              <w:jc w:val="center"/>
              <w:rPr>
                <w:rFonts w:cs="Arial"/>
                <w:color w:val="000000"/>
              </w:rPr>
            </w:pPr>
            <w:r>
              <w:rPr>
                <w:rFonts w:cs="Arial"/>
                <w:color w:val="000000"/>
              </w:rPr>
              <w:t>---</w:t>
            </w:r>
          </w:p>
        </w:tc>
        <w:tc>
          <w:tcPr>
            <w:tcW w:w="1080" w:type="dxa"/>
          </w:tcPr>
          <w:p w14:paraId="3E331B25" w14:textId="62DD8556" w:rsidR="0093587E" w:rsidRDefault="00FB2510" w:rsidP="002646F0">
            <w:pPr>
              <w:jc w:val="center"/>
              <w:rPr>
                <w:rFonts w:cs="Arial"/>
                <w:color w:val="000000"/>
              </w:rPr>
            </w:pPr>
            <w:r>
              <w:rPr>
                <w:rFonts w:cs="Arial"/>
                <w:color w:val="000000"/>
              </w:rPr>
              <w:t>---</w:t>
            </w:r>
          </w:p>
        </w:tc>
      </w:tr>
      <w:tr w:rsidR="0093587E" w:rsidRPr="008B6878" w14:paraId="27E81FC0" w14:textId="77777777" w:rsidTr="00B93B57">
        <w:trPr>
          <w:trHeight w:val="360"/>
          <w:jc w:val="center"/>
        </w:trPr>
        <w:tc>
          <w:tcPr>
            <w:tcW w:w="3120" w:type="dxa"/>
            <w:shd w:val="clear" w:color="auto" w:fill="auto"/>
            <w:noWrap/>
            <w:tcMar>
              <w:left w:w="58" w:type="dxa"/>
              <w:right w:w="58" w:type="dxa"/>
            </w:tcMar>
            <w:vAlign w:val="center"/>
          </w:tcPr>
          <w:p w14:paraId="467B836B" w14:textId="0470EA7E" w:rsidR="0093587E" w:rsidRPr="008B6878" w:rsidRDefault="0093587E" w:rsidP="0093587E">
            <w:pPr>
              <w:rPr>
                <w:rFonts w:cs="Arial"/>
                <w:color w:val="000000"/>
              </w:rPr>
            </w:pPr>
            <w:r w:rsidRPr="0093587E">
              <w:rPr>
                <w:rFonts w:cs="Arial"/>
                <w:color w:val="000000"/>
              </w:rPr>
              <w:t>Inedible Animal By</w:t>
            </w:r>
            <w:r w:rsidRPr="0093587E">
              <w:rPr>
                <w:rFonts w:ascii="Cambria Math" w:hAnsi="Cambria Math" w:cs="Cambria Math"/>
                <w:color w:val="000000"/>
              </w:rPr>
              <w:t>‐</w:t>
            </w:r>
            <w:r w:rsidRPr="0093587E">
              <w:rPr>
                <w:rFonts w:cs="Arial"/>
                <w:color w:val="000000"/>
              </w:rPr>
              <w:t>products Protein Conversion Process Line #</w:t>
            </w:r>
            <w:r>
              <w:rPr>
                <w:rFonts w:cs="Arial"/>
                <w:color w:val="000000"/>
              </w:rPr>
              <w:t>3 (EU 019)</w:t>
            </w:r>
          </w:p>
        </w:tc>
        <w:tc>
          <w:tcPr>
            <w:tcW w:w="810" w:type="dxa"/>
            <w:shd w:val="clear" w:color="auto" w:fill="auto"/>
            <w:tcMar>
              <w:left w:w="58" w:type="dxa"/>
              <w:right w:w="58" w:type="dxa"/>
            </w:tcMar>
            <w:vAlign w:val="center"/>
          </w:tcPr>
          <w:p w14:paraId="0B6D718C" w14:textId="7F6AF0C1" w:rsidR="0093587E" w:rsidRDefault="00FB2510" w:rsidP="002646F0">
            <w:pPr>
              <w:jc w:val="center"/>
              <w:rPr>
                <w:rFonts w:cs="Arial"/>
                <w:color w:val="000000"/>
              </w:rPr>
            </w:pPr>
            <w:r>
              <w:rPr>
                <w:rFonts w:cs="Arial"/>
                <w:color w:val="000000"/>
              </w:rPr>
              <w:t>---</w:t>
            </w:r>
          </w:p>
        </w:tc>
        <w:tc>
          <w:tcPr>
            <w:tcW w:w="650" w:type="dxa"/>
            <w:shd w:val="clear" w:color="auto" w:fill="auto"/>
            <w:tcMar>
              <w:left w:w="58" w:type="dxa"/>
              <w:right w:w="58" w:type="dxa"/>
            </w:tcMar>
            <w:vAlign w:val="center"/>
          </w:tcPr>
          <w:p w14:paraId="00A9BAE4" w14:textId="03434BC1" w:rsidR="0093587E" w:rsidRDefault="00FB2510" w:rsidP="002646F0">
            <w:pPr>
              <w:jc w:val="center"/>
              <w:rPr>
                <w:rFonts w:cs="Arial"/>
                <w:color w:val="000000"/>
              </w:rPr>
            </w:pPr>
            <w:r>
              <w:rPr>
                <w:rFonts w:cs="Arial"/>
                <w:color w:val="000000"/>
              </w:rPr>
              <w:t>---</w:t>
            </w:r>
          </w:p>
        </w:tc>
        <w:tc>
          <w:tcPr>
            <w:tcW w:w="790" w:type="dxa"/>
            <w:vAlign w:val="center"/>
          </w:tcPr>
          <w:p w14:paraId="0A7364B2" w14:textId="52218D93" w:rsidR="0093587E" w:rsidRDefault="00FB2510" w:rsidP="002646F0">
            <w:pPr>
              <w:jc w:val="center"/>
              <w:rPr>
                <w:rFonts w:cs="Arial"/>
                <w:color w:val="000000"/>
              </w:rPr>
            </w:pPr>
            <w:r>
              <w:rPr>
                <w:rFonts w:cs="Arial"/>
                <w:color w:val="000000"/>
              </w:rPr>
              <w:t>---</w:t>
            </w:r>
          </w:p>
        </w:tc>
        <w:tc>
          <w:tcPr>
            <w:tcW w:w="830" w:type="dxa"/>
            <w:vAlign w:val="center"/>
          </w:tcPr>
          <w:p w14:paraId="07EAA60F" w14:textId="20C9F4A7" w:rsidR="0093587E" w:rsidRDefault="0093587E" w:rsidP="002646F0">
            <w:pPr>
              <w:jc w:val="center"/>
              <w:rPr>
                <w:rFonts w:cs="Arial"/>
                <w:color w:val="000000"/>
              </w:rPr>
            </w:pPr>
            <w:r>
              <w:rPr>
                <w:rFonts w:cs="Arial"/>
                <w:color w:val="000000"/>
              </w:rPr>
              <w:t>1.01</w:t>
            </w:r>
          </w:p>
        </w:tc>
        <w:tc>
          <w:tcPr>
            <w:tcW w:w="720" w:type="dxa"/>
            <w:shd w:val="clear" w:color="auto" w:fill="auto"/>
            <w:tcMar>
              <w:left w:w="58" w:type="dxa"/>
              <w:right w:w="58" w:type="dxa"/>
            </w:tcMar>
            <w:vAlign w:val="center"/>
          </w:tcPr>
          <w:p w14:paraId="4FF13E90" w14:textId="5F4EC1DC" w:rsidR="0093587E" w:rsidRDefault="00FB2510" w:rsidP="002646F0">
            <w:pPr>
              <w:jc w:val="center"/>
              <w:rPr>
                <w:rFonts w:cs="Arial"/>
                <w:color w:val="000000"/>
              </w:rPr>
            </w:pPr>
            <w:r>
              <w:rPr>
                <w:rFonts w:cs="Arial"/>
                <w:color w:val="000000"/>
              </w:rPr>
              <w:t>0.38</w:t>
            </w:r>
          </w:p>
        </w:tc>
        <w:tc>
          <w:tcPr>
            <w:tcW w:w="990" w:type="dxa"/>
            <w:shd w:val="clear" w:color="auto" w:fill="auto"/>
            <w:tcMar>
              <w:left w:w="58" w:type="dxa"/>
              <w:right w:w="58" w:type="dxa"/>
            </w:tcMar>
            <w:vAlign w:val="center"/>
          </w:tcPr>
          <w:p w14:paraId="74FA09D7" w14:textId="7614D43A" w:rsidR="0093587E" w:rsidRDefault="00FB2510" w:rsidP="00FA5049">
            <w:pPr>
              <w:jc w:val="center"/>
              <w:rPr>
                <w:rFonts w:cs="Arial"/>
                <w:color w:val="000000"/>
              </w:rPr>
            </w:pPr>
            <w:r>
              <w:rPr>
                <w:rFonts w:cs="Arial"/>
                <w:color w:val="000000"/>
              </w:rPr>
              <w:t>4.1</w:t>
            </w:r>
            <w:r w:rsidR="00FA5049">
              <w:rPr>
                <w:rFonts w:cs="Arial"/>
                <w:color w:val="000000"/>
              </w:rPr>
              <w:t>4</w:t>
            </w:r>
          </w:p>
        </w:tc>
        <w:tc>
          <w:tcPr>
            <w:tcW w:w="1170" w:type="dxa"/>
          </w:tcPr>
          <w:p w14:paraId="4AA6970A" w14:textId="77953F2A" w:rsidR="0093587E" w:rsidRDefault="00FB2510" w:rsidP="002646F0">
            <w:pPr>
              <w:jc w:val="center"/>
              <w:rPr>
                <w:rFonts w:cs="Arial"/>
                <w:color w:val="000000"/>
              </w:rPr>
            </w:pPr>
            <w:r>
              <w:rPr>
                <w:rFonts w:cs="Arial"/>
                <w:color w:val="000000"/>
              </w:rPr>
              <w:t>---</w:t>
            </w:r>
          </w:p>
        </w:tc>
        <w:tc>
          <w:tcPr>
            <w:tcW w:w="1260" w:type="dxa"/>
          </w:tcPr>
          <w:p w14:paraId="37587870" w14:textId="55B970A8" w:rsidR="0093587E" w:rsidRDefault="00FB2510" w:rsidP="002646F0">
            <w:pPr>
              <w:jc w:val="center"/>
              <w:rPr>
                <w:rFonts w:cs="Arial"/>
                <w:color w:val="000000"/>
              </w:rPr>
            </w:pPr>
            <w:r>
              <w:rPr>
                <w:rFonts w:cs="Arial"/>
                <w:color w:val="000000"/>
              </w:rPr>
              <w:t>---</w:t>
            </w:r>
          </w:p>
        </w:tc>
        <w:tc>
          <w:tcPr>
            <w:tcW w:w="1080" w:type="dxa"/>
          </w:tcPr>
          <w:p w14:paraId="581139ED" w14:textId="191557FF" w:rsidR="0093587E" w:rsidRDefault="00FB2510" w:rsidP="002646F0">
            <w:pPr>
              <w:jc w:val="center"/>
              <w:rPr>
                <w:rFonts w:cs="Arial"/>
                <w:color w:val="000000"/>
              </w:rPr>
            </w:pPr>
            <w:r>
              <w:rPr>
                <w:rFonts w:cs="Arial"/>
                <w:color w:val="000000"/>
              </w:rPr>
              <w:t>---</w:t>
            </w:r>
          </w:p>
        </w:tc>
      </w:tr>
      <w:tr w:rsidR="0093587E" w:rsidRPr="008B6878" w14:paraId="4797ACA2" w14:textId="77777777" w:rsidTr="00B93B57">
        <w:trPr>
          <w:trHeight w:val="360"/>
          <w:jc w:val="center"/>
        </w:trPr>
        <w:tc>
          <w:tcPr>
            <w:tcW w:w="3120" w:type="dxa"/>
            <w:shd w:val="clear" w:color="auto" w:fill="auto"/>
            <w:noWrap/>
            <w:tcMar>
              <w:left w:w="58" w:type="dxa"/>
              <w:right w:w="58" w:type="dxa"/>
            </w:tcMar>
            <w:vAlign w:val="center"/>
          </w:tcPr>
          <w:p w14:paraId="7B4B6982" w14:textId="242B80C4" w:rsidR="0093587E" w:rsidRPr="008B6878" w:rsidRDefault="00654324" w:rsidP="002646F0">
            <w:pPr>
              <w:rPr>
                <w:rFonts w:cs="Arial"/>
                <w:color w:val="000000"/>
              </w:rPr>
            </w:pPr>
            <w:r w:rsidRPr="00654324">
              <w:rPr>
                <w:bCs/>
              </w:rPr>
              <w:t>Feather Protein Conversion Process Line</w:t>
            </w:r>
            <w:r>
              <w:rPr>
                <w:rFonts w:cs="Arial"/>
                <w:color w:val="000000"/>
              </w:rPr>
              <w:t xml:space="preserve"> </w:t>
            </w:r>
            <w:r w:rsidR="0093587E">
              <w:rPr>
                <w:rFonts w:cs="Arial"/>
                <w:color w:val="000000"/>
              </w:rPr>
              <w:t>(EU 020)</w:t>
            </w:r>
          </w:p>
        </w:tc>
        <w:tc>
          <w:tcPr>
            <w:tcW w:w="810" w:type="dxa"/>
            <w:shd w:val="clear" w:color="auto" w:fill="auto"/>
            <w:tcMar>
              <w:left w:w="58" w:type="dxa"/>
              <w:right w:w="58" w:type="dxa"/>
            </w:tcMar>
            <w:vAlign w:val="center"/>
          </w:tcPr>
          <w:p w14:paraId="171B8EF9" w14:textId="44A329A7" w:rsidR="0093587E" w:rsidRDefault="00FB2510" w:rsidP="002646F0">
            <w:pPr>
              <w:jc w:val="center"/>
              <w:rPr>
                <w:rFonts w:cs="Arial"/>
                <w:color w:val="000000"/>
              </w:rPr>
            </w:pPr>
            <w:r>
              <w:rPr>
                <w:rFonts w:cs="Arial"/>
                <w:color w:val="000000"/>
              </w:rPr>
              <w:t>---</w:t>
            </w:r>
          </w:p>
        </w:tc>
        <w:tc>
          <w:tcPr>
            <w:tcW w:w="650" w:type="dxa"/>
            <w:shd w:val="clear" w:color="auto" w:fill="auto"/>
            <w:tcMar>
              <w:left w:w="58" w:type="dxa"/>
              <w:right w:w="58" w:type="dxa"/>
            </w:tcMar>
            <w:vAlign w:val="center"/>
          </w:tcPr>
          <w:p w14:paraId="1748ABEB" w14:textId="47BDD61F" w:rsidR="0093587E" w:rsidRDefault="00FB2510" w:rsidP="002646F0">
            <w:pPr>
              <w:jc w:val="center"/>
              <w:rPr>
                <w:rFonts w:cs="Arial"/>
                <w:color w:val="000000"/>
              </w:rPr>
            </w:pPr>
            <w:r>
              <w:rPr>
                <w:rFonts w:cs="Arial"/>
                <w:color w:val="000000"/>
              </w:rPr>
              <w:t>---</w:t>
            </w:r>
          </w:p>
        </w:tc>
        <w:tc>
          <w:tcPr>
            <w:tcW w:w="790" w:type="dxa"/>
            <w:vAlign w:val="center"/>
          </w:tcPr>
          <w:p w14:paraId="59F81875" w14:textId="6C412ED8" w:rsidR="0093587E" w:rsidRDefault="00FB2510" w:rsidP="002646F0">
            <w:pPr>
              <w:jc w:val="center"/>
              <w:rPr>
                <w:rFonts w:cs="Arial"/>
                <w:color w:val="000000"/>
              </w:rPr>
            </w:pPr>
            <w:r>
              <w:rPr>
                <w:rFonts w:cs="Arial"/>
                <w:color w:val="000000"/>
              </w:rPr>
              <w:t>---</w:t>
            </w:r>
          </w:p>
        </w:tc>
        <w:tc>
          <w:tcPr>
            <w:tcW w:w="830" w:type="dxa"/>
            <w:vAlign w:val="center"/>
          </w:tcPr>
          <w:p w14:paraId="1DCF224A" w14:textId="7EBB816E" w:rsidR="0093587E" w:rsidRDefault="0093587E" w:rsidP="002646F0">
            <w:pPr>
              <w:jc w:val="center"/>
              <w:rPr>
                <w:rFonts w:cs="Arial"/>
                <w:color w:val="000000"/>
              </w:rPr>
            </w:pPr>
            <w:r>
              <w:rPr>
                <w:rFonts w:cs="Arial"/>
                <w:color w:val="000000"/>
              </w:rPr>
              <w:t>0.75</w:t>
            </w:r>
          </w:p>
        </w:tc>
        <w:tc>
          <w:tcPr>
            <w:tcW w:w="720" w:type="dxa"/>
            <w:shd w:val="clear" w:color="auto" w:fill="auto"/>
            <w:tcMar>
              <w:left w:w="58" w:type="dxa"/>
              <w:right w:w="58" w:type="dxa"/>
            </w:tcMar>
            <w:vAlign w:val="center"/>
          </w:tcPr>
          <w:p w14:paraId="2E6325EF" w14:textId="6B6FF534" w:rsidR="0093587E" w:rsidRDefault="00FB2510" w:rsidP="002646F0">
            <w:pPr>
              <w:jc w:val="center"/>
              <w:rPr>
                <w:rFonts w:cs="Arial"/>
                <w:color w:val="000000"/>
              </w:rPr>
            </w:pPr>
            <w:r>
              <w:rPr>
                <w:rFonts w:cs="Arial"/>
                <w:color w:val="000000"/>
              </w:rPr>
              <w:t>0.28</w:t>
            </w:r>
          </w:p>
        </w:tc>
        <w:tc>
          <w:tcPr>
            <w:tcW w:w="990" w:type="dxa"/>
            <w:shd w:val="clear" w:color="auto" w:fill="auto"/>
            <w:tcMar>
              <w:left w:w="58" w:type="dxa"/>
              <w:right w:w="58" w:type="dxa"/>
            </w:tcMar>
            <w:vAlign w:val="center"/>
          </w:tcPr>
          <w:p w14:paraId="2CB30C61" w14:textId="49A33AFE" w:rsidR="0093587E" w:rsidRDefault="00FB2510" w:rsidP="002646F0">
            <w:pPr>
              <w:jc w:val="center"/>
              <w:rPr>
                <w:rFonts w:cs="Arial"/>
                <w:color w:val="000000"/>
              </w:rPr>
            </w:pPr>
            <w:r>
              <w:rPr>
                <w:rFonts w:cs="Arial"/>
                <w:color w:val="000000"/>
              </w:rPr>
              <w:t>2.71</w:t>
            </w:r>
          </w:p>
        </w:tc>
        <w:tc>
          <w:tcPr>
            <w:tcW w:w="1170" w:type="dxa"/>
          </w:tcPr>
          <w:p w14:paraId="5268A7EC" w14:textId="33A513B6" w:rsidR="0093587E" w:rsidRDefault="00FB2510" w:rsidP="002646F0">
            <w:pPr>
              <w:jc w:val="center"/>
              <w:rPr>
                <w:rFonts w:cs="Arial"/>
                <w:color w:val="000000"/>
              </w:rPr>
            </w:pPr>
            <w:r>
              <w:rPr>
                <w:rFonts w:cs="Arial"/>
                <w:color w:val="000000"/>
              </w:rPr>
              <w:t>---</w:t>
            </w:r>
          </w:p>
        </w:tc>
        <w:tc>
          <w:tcPr>
            <w:tcW w:w="1260" w:type="dxa"/>
          </w:tcPr>
          <w:p w14:paraId="6BEEB4CF" w14:textId="4623BA2B" w:rsidR="0093587E" w:rsidRDefault="00FB2510" w:rsidP="002646F0">
            <w:pPr>
              <w:jc w:val="center"/>
              <w:rPr>
                <w:rFonts w:cs="Arial"/>
                <w:color w:val="000000"/>
              </w:rPr>
            </w:pPr>
            <w:r>
              <w:rPr>
                <w:rFonts w:cs="Arial"/>
                <w:color w:val="000000"/>
              </w:rPr>
              <w:t>---</w:t>
            </w:r>
          </w:p>
        </w:tc>
        <w:tc>
          <w:tcPr>
            <w:tcW w:w="1080" w:type="dxa"/>
          </w:tcPr>
          <w:p w14:paraId="3F9B65A8" w14:textId="77777777" w:rsidR="0093587E" w:rsidRDefault="0093587E" w:rsidP="002646F0">
            <w:pPr>
              <w:jc w:val="center"/>
              <w:rPr>
                <w:rFonts w:cs="Arial"/>
                <w:color w:val="000000"/>
              </w:rPr>
            </w:pPr>
          </w:p>
        </w:tc>
      </w:tr>
      <w:tr w:rsidR="00AB7824" w:rsidRPr="008B6878" w14:paraId="080459BC" w14:textId="77777777" w:rsidTr="00C11356">
        <w:trPr>
          <w:trHeight w:val="480"/>
          <w:jc w:val="center"/>
        </w:trPr>
        <w:tc>
          <w:tcPr>
            <w:tcW w:w="3120" w:type="dxa"/>
            <w:shd w:val="clear" w:color="auto" w:fill="auto"/>
            <w:noWrap/>
            <w:tcMar>
              <w:left w:w="58" w:type="dxa"/>
              <w:right w:w="58" w:type="dxa"/>
            </w:tcMar>
            <w:vAlign w:val="center"/>
          </w:tcPr>
          <w:p w14:paraId="63978D84" w14:textId="0CCFA943" w:rsidR="00AB7824" w:rsidRPr="008B6878" w:rsidRDefault="00AB7824" w:rsidP="004939BF">
            <w:pPr>
              <w:rPr>
                <w:rFonts w:cs="Arial"/>
                <w:color w:val="000000"/>
              </w:rPr>
            </w:pPr>
            <w:r>
              <w:rPr>
                <w:rFonts w:cs="Arial"/>
                <w:color w:val="000000"/>
              </w:rPr>
              <w:t>Boilers (EU 006, EU 007, EU 008, EU 017)</w:t>
            </w:r>
            <w:r w:rsidRPr="005465C5">
              <w:rPr>
                <w:rFonts w:cs="Arial"/>
                <w:b/>
                <w:color w:val="000000"/>
                <w:vertAlign w:val="superscript"/>
              </w:rPr>
              <w:t>a</w:t>
            </w:r>
          </w:p>
        </w:tc>
        <w:tc>
          <w:tcPr>
            <w:tcW w:w="810" w:type="dxa"/>
            <w:shd w:val="clear" w:color="auto" w:fill="auto"/>
            <w:tcMar>
              <w:left w:w="58" w:type="dxa"/>
              <w:right w:w="58" w:type="dxa"/>
            </w:tcMar>
            <w:vAlign w:val="center"/>
          </w:tcPr>
          <w:p w14:paraId="481CEE46" w14:textId="2EB7B4B7" w:rsidR="00AB7824" w:rsidRDefault="00AB7824" w:rsidP="002646F0">
            <w:pPr>
              <w:jc w:val="center"/>
              <w:rPr>
                <w:rFonts w:cs="Arial"/>
                <w:color w:val="000000"/>
              </w:rPr>
            </w:pPr>
            <w:r>
              <w:rPr>
                <w:rFonts w:cs="Arial"/>
                <w:color w:val="000000"/>
              </w:rPr>
              <w:t>40.31</w:t>
            </w:r>
          </w:p>
        </w:tc>
        <w:tc>
          <w:tcPr>
            <w:tcW w:w="650" w:type="dxa"/>
            <w:shd w:val="clear" w:color="auto" w:fill="auto"/>
            <w:tcMar>
              <w:left w:w="58" w:type="dxa"/>
              <w:right w:w="58" w:type="dxa"/>
            </w:tcMar>
            <w:vAlign w:val="center"/>
          </w:tcPr>
          <w:p w14:paraId="18EDCDCC" w14:textId="58CC4724" w:rsidR="00AB7824" w:rsidRDefault="00AB7824" w:rsidP="002646F0">
            <w:pPr>
              <w:jc w:val="center"/>
              <w:rPr>
                <w:rFonts w:cs="Arial"/>
                <w:color w:val="000000"/>
              </w:rPr>
            </w:pPr>
            <w:r>
              <w:rPr>
                <w:rFonts w:cs="Arial"/>
                <w:color w:val="000000"/>
              </w:rPr>
              <w:t>68.55</w:t>
            </w:r>
          </w:p>
        </w:tc>
        <w:tc>
          <w:tcPr>
            <w:tcW w:w="790" w:type="dxa"/>
            <w:vAlign w:val="center"/>
          </w:tcPr>
          <w:p w14:paraId="75FCC0D4" w14:textId="1BAF0AA2" w:rsidR="00AB7824" w:rsidRDefault="00AB7824" w:rsidP="002646F0">
            <w:pPr>
              <w:jc w:val="center"/>
              <w:rPr>
                <w:rFonts w:cs="Arial"/>
                <w:color w:val="000000"/>
              </w:rPr>
            </w:pPr>
            <w:r>
              <w:rPr>
                <w:rFonts w:cs="Arial"/>
                <w:color w:val="000000"/>
              </w:rPr>
              <w:t>248.81</w:t>
            </w:r>
          </w:p>
        </w:tc>
        <w:tc>
          <w:tcPr>
            <w:tcW w:w="830" w:type="dxa"/>
            <w:vAlign w:val="center"/>
          </w:tcPr>
          <w:p w14:paraId="7C7E8E48" w14:textId="7A616633" w:rsidR="00AB7824" w:rsidRDefault="00AB7824" w:rsidP="002646F0">
            <w:pPr>
              <w:jc w:val="center"/>
              <w:rPr>
                <w:rFonts w:cs="Arial"/>
                <w:color w:val="000000"/>
              </w:rPr>
            </w:pPr>
            <w:r>
              <w:rPr>
                <w:rFonts w:cs="Arial"/>
                <w:color w:val="000000"/>
              </w:rPr>
              <w:t>146.86</w:t>
            </w:r>
          </w:p>
        </w:tc>
        <w:tc>
          <w:tcPr>
            <w:tcW w:w="720" w:type="dxa"/>
            <w:shd w:val="clear" w:color="auto" w:fill="auto"/>
            <w:tcMar>
              <w:left w:w="58" w:type="dxa"/>
              <w:right w:w="58" w:type="dxa"/>
            </w:tcMar>
            <w:vAlign w:val="center"/>
          </w:tcPr>
          <w:p w14:paraId="1E25575F" w14:textId="059A9B81" w:rsidR="00AB7824" w:rsidRDefault="00AB7824" w:rsidP="002646F0">
            <w:pPr>
              <w:jc w:val="center"/>
              <w:rPr>
                <w:rFonts w:cs="Arial"/>
                <w:color w:val="000000"/>
              </w:rPr>
            </w:pPr>
            <w:r>
              <w:rPr>
                <w:rFonts w:cs="Arial"/>
                <w:color w:val="000000"/>
              </w:rPr>
              <w:t>146.86</w:t>
            </w:r>
          </w:p>
        </w:tc>
        <w:tc>
          <w:tcPr>
            <w:tcW w:w="990" w:type="dxa"/>
            <w:shd w:val="clear" w:color="auto" w:fill="auto"/>
            <w:tcMar>
              <w:left w:w="58" w:type="dxa"/>
              <w:right w:w="58" w:type="dxa"/>
            </w:tcMar>
            <w:vAlign w:val="center"/>
          </w:tcPr>
          <w:p w14:paraId="19958AB1" w14:textId="161B03E8" w:rsidR="00AB7824" w:rsidRDefault="00AB7824" w:rsidP="002646F0">
            <w:pPr>
              <w:jc w:val="center"/>
              <w:rPr>
                <w:rFonts w:cs="Arial"/>
                <w:color w:val="000000"/>
              </w:rPr>
            </w:pPr>
            <w:r>
              <w:rPr>
                <w:rFonts w:cs="Arial"/>
                <w:color w:val="000000"/>
              </w:rPr>
              <w:t>3.39</w:t>
            </w:r>
          </w:p>
        </w:tc>
        <w:tc>
          <w:tcPr>
            <w:tcW w:w="1170" w:type="dxa"/>
            <w:vAlign w:val="center"/>
          </w:tcPr>
          <w:p w14:paraId="3749506A" w14:textId="5D6849BD" w:rsidR="00AB7824" w:rsidRDefault="00AB7824" w:rsidP="00C11356">
            <w:pPr>
              <w:jc w:val="center"/>
              <w:rPr>
                <w:rFonts w:cs="Arial"/>
                <w:color w:val="000000"/>
              </w:rPr>
            </w:pPr>
            <w:r>
              <w:rPr>
                <w:rFonts w:cs="Arial"/>
                <w:color w:val="000000"/>
              </w:rPr>
              <w:t>0.86</w:t>
            </w:r>
            <w:r w:rsidRPr="00BE714A">
              <w:rPr>
                <w:rFonts w:cs="Arial"/>
                <w:b/>
                <w:color w:val="000000"/>
                <w:vertAlign w:val="superscript"/>
              </w:rPr>
              <w:t>a</w:t>
            </w:r>
          </w:p>
        </w:tc>
        <w:tc>
          <w:tcPr>
            <w:tcW w:w="1260" w:type="dxa"/>
            <w:vAlign w:val="center"/>
          </w:tcPr>
          <w:p w14:paraId="18F65E1A" w14:textId="5C2C04FA" w:rsidR="00AB7824" w:rsidRDefault="00AB7824" w:rsidP="00C11356">
            <w:pPr>
              <w:jc w:val="center"/>
              <w:rPr>
                <w:rFonts w:cs="Arial"/>
                <w:color w:val="000000"/>
              </w:rPr>
            </w:pPr>
            <w:r>
              <w:rPr>
                <w:rFonts w:cs="Arial"/>
                <w:color w:val="000000"/>
              </w:rPr>
              <w:t>1.86</w:t>
            </w:r>
          </w:p>
        </w:tc>
        <w:tc>
          <w:tcPr>
            <w:tcW w:w="1080" w:type="dxa"/>
          </w:tcPr>
          <w:p w14:paraId="3E84CEF5" w14:textId="63A9D4FE" w:rsidR="00AB7824" w:rsidRDefault="00AB7824" w:rsidP="002646F0">
            <w:pPr>
              <w:jc w:val="center"/>
              <w:rPr>
                <w:rFonts w:cs="Arial"/>
                <w:color w:val="000000"/>
              </w:rPr>
            </w:pPr>
            <w:r>
              <w:rPr>
                <w:rFonts w:cs="Arial"/>
                <w:color w:val="000000"/>
              </w:rPr>
              <w:t>76,787</w:t>
            </w:r>
          </w:p>
        </w:tc>
      </w:tr>
      <w:tr w:rsidR="0093587E" w:rsidRPr="008B6878" w14:paraId="1CFE68CE" w14:textId="77777777" w:rsidTr="00C11356">
        <w:trPr>
          <w:trHeight w:val="180"/>
          <w:jc w:val="center"/>
        </w:trPr>
        <w:tc>
          <w:tcPr>
            <w:tcW w:w="3120" w:type="dxa"/>
            <w:shd w:val="clear" w:color="auto" w:fill="auto"/>
            <w:noWrap/>
            <w:tcMar>
              <w:left w:w="58" w:type="dxa"/>
              <w:right w:w="58" w:type="dxa"/>
            </w:tcMar>
            <w:vAlign w:val="center"/>
          </w:tcPr>
          <w:p w14:paraId="3D4A2A24" w14:textId="7F1D4071" w:rsidR="0093587E" w:rsidRDefault="0093587E" w:rsidP="0065696B">
            <w:pPr>
              <w:rPr>
                <w:rFonts w:cs="Arial"/>
                <w:color w:val="000000"/>
              </w:rPr>
            </w:pPr>
            <w:r>
              <w:rPr>
                <w:rFonts w:cs="Arial"/>
                <w:color w:val="000000"/>
              </w:rPr>
              <w:t>SPN Files Solvent Extraction Process (EU 016)</w:t>
            </w:r>
            <w:r w:rsidR="005465C5">
              <w:rPr>
                <w:rFonts w:cs="Arial"/>
                <w:b/>
                <w:color w:val="000000"/>
                <w:vertAlign w:val="superscript"/>
              </w:rPr>
              <w:t xml:space="preserve"> c</w:t>
            </w:r>
          </w:p>
        </w:tc>
        <w:tc>
          <w:tcPr>
            <w:tcW w:w="810" w:type="dxa"/>
            <w:shd w:val="clear" w:color="auto" w:fill="auto"/>
            <w:tcMar>
              <w:left w:w="58" w:type="dxa"/>
              <w:right w:w="58" w:type="dxa"/>
            </w:tcMar>
            <w:vAlign w:val="center"/>
          </w:tcPr>
          <w:p w14:paraId="613F8171" w14:textId="4281CA27" w:rsidR="0093587E" w:rsidRDefault="00FB2510" w:rsidP="002646F0">
            <w:pPr>
              <w:jc w:val="center"/>
              <w:rPr>
                <w:rFonts w:cs="Arial"/>
                <w:color w:val="000000"/>
              </w:rPr>
            </w:pPr>
            <w:r>
              <w:rPr>
                <w:rFonts w:cs="Arial"/>
                <w:color w:val="000000"/>
              </w:rPr>
              <w:t>---</w:t>
            </w:r>
          </w:p>
        </w:tc>
        <w:tc>
          <w:tcPr>
            <w:tcW w:w="650" w:type="dxa"/>
            <w:shd w:val="clear" w:color="auto" w:fill="auto"/>
            <w:tcMar>
              <w:left w:w="58" w:type="dxa"/>
              <w:right w:w="58" w:type="dxa"/>
            </w:tcMar>
            <w:vAlign w:val="center"/>
          </w:tcPr>
          <w:p w14:paraId="5C55A823" w14:textId="2FD225CB" w:rsidR="0093587E" w:rsidRDefault="00FB2510" w:rsidP="002646F0">
            <w:pPr>
              <w:jc w:val="center"/>
              <w:rPr>
                <w:rFonts w:cs="Arial"/>
                <w:color w:val="000000"/>
              </w:rPr>
            </w:pPr>
            <w:r>
              <w:rPr>
                <w:rFonts w:cs="Arial"/>
                <w:color w:val="000000"/>
              </w:rPr>
              <w:t>---</w:t>
            </w:r>
          </w:p>
        </w:tc>
        <w:tc>
          <w:tcPr>
            <w:tcW w:w="790" w:type="dxa"/>
            <w:vAlign w:val="center"/>
          </w:tcPr>
          <w:p w14:paraId="5D20299E" w14:textId="51D31C49" w:rsidR="0093587E" w:rsidRDefault="0093587E" w:rsidP="002646F0">
            <w:pPr>
              <w:jc w:val="center"/>
              <w:rPr>
                <w:rFonts w:cs="Arial"/>
                <w:color w:val="000000"/>
              </w:rPr>
            </w:pPr>
            <w:r>
              <w:rPr>
                <w:rFonts w:cs="Arial"/>
                <w:color w:val="000000"/>
              </w:rPr>
              <w:t>---</w:t>
            </w:r>
          </w:p>
        </w:tc>
        <w:tc>
          <w:tcPr>
            <w:tcW w:w="830" w:type="dxa"/>
            <w:vAlign w:val="center"/>
          </w:tcPr>
          <w:p w14:paraId="35E9899C" w14:textId="174C69C6" w:rsidR="0093587E" w:rsidRDefault="0093587E" w:rsidP="002646F0">
            <w:pPr>
              <w:jc w:val="center"/>
              <w:rPr>
                <w:rFonts w:cs="Arial"/>
                <w:color w:val="000000"/>
              </w:rPr>
            </w:pPr>
            <w:r>
              <w:rPr>
                <w:rFonts w:cs="Arial"/>
                <w:color w:val="000000"/>
              </w:rPr>
              <w:t>---</w:t>
            </w:r>
          </w:p>
        </w:tc>
        <w:tc>
          <w:tcPr>
            <w:tcW w:w="720" w:type="dxa"/>
            <w:shd w:val="clear" w:color="auto" w:fill="auto"/>
            <w:tcMar>
              <w:left w:w="58" w:type="dxa"/>
              <w:right w:w="58" w:type="dxa"/>
            </w:tcMar>
            <w:vAlign w:val="center"/>
          </w:tcPr>
          <w:p w14:paraId="5B50FF23" w14:textId="69829676" w:rsidR="0093587E" w:rsidRDefault="0093587E" w:rsidP="002646F0">
            <w:pPr>
              <w:jc w:val="center"/>
              <w:rPr>
                <w:rFonts w:cs="Arial"/>
                <w:color w:val="000000"/>
              </w:rPr>
            </w:pPr>
            <w:r>
              <w:rPr>
                <w:rFonts w:cs="Arial"/>
                <w:color w:val="000000"/>
              </w:rPr>
              <w:t>---</w:t>
            </w:r>
          </w:p>
        </w:tc>
        <w:tc>
          <w:tcPr>
            <w:tcW w:w="990" w:type="dxa"/>
            <w:shd w:val="clear" w:color="auto" w:fill="auto"/>
            <w:tcMar>
              <w:left w:w="58" w:type="dxa"/>
              <w:right w:w="58" w:type="dxa"/>
            </w:tcMar>
            <w:vAlign w:val="center"/>
          </w:tcPr>
          <w:p w14:paraId="4D58B6E8" w14:textId="4DC3A856" w:rsidR="0093587E" w:rsidRDefault="00FB2510" w:rsidP="00CB7E4C">
            <w:pPr>
              <w:jc w:val="center"/>
              <w:rPr>
                <w:rFonts w:cs="Arial"/>
                <w:color w:val="000000"/>
              </w:rPr>
            </w:pPr>
            <w:r w:rsidRPr="00A951F9">
              <w:rPr>
                <w:rFonts w:cs="Arial"/>
                <w:color w:val="000000"/>
              </w:rPr>
              <w:t>233.25</w:t>
            </w:r>
            <w:r w:rsidR="00CB7E4C" w:rsidRPr="00A951F9">
              <w:rPr>
                <w:rFonts w:cs="Arial"/>
                <w:b/>
                <w:color w:val="000000"/>
                <w:vertAlign w:val="superscript"/>
              </w:rPr>
              <w:t>b</w:t>
            </w:r>
          </w:p>
        </w:tc>
        <w:tc>
          <w:tcPr>
            <w:tcW w:w="1170" w:type="dxa"/>
            <w:vAlign w:val="center"/>
          </w:tcPr>
          <w:p w14:paraId="2CAFB619" w14:textId="0FF9C86A" w:rsidR="0093587E" w:rsidRDefault="005F636C" w:rsidP="005F636C">
            <w:pPr>
              <w:jc w:val="center"/>
              <w:rPr>
                <w:rFonts w:cs="Arial"/>
                <w:color w:val="000000"/>
              </w:rPr>
            </w:pPr>
            <w:r>
              <w:rPr>
                <w:rFonts w:cs="Arial"/>
                <w:color w:val="000000"/>
              </w:rPr>
              <w:t>5.82</w:t>
            </w:r>
            <w:r w:rsidR="00CB7E4C">
              <w:rPr>
                <w:rFonts w:cs="Arial"/>
                <w:b/>
                <w:color w:val="000000"/>
                <w:vertAlign w:val="superscript"/>
              </w:rPr>
              <w:t>c</w:t>
            </w:r>
            <w:r w:rsidR="004B779D">
              <w:rPr>
                <w:rFonts w:cs="Arial"/>
                <w:b/>
                <w:color w:val="000000"/>
                <w:vertAlign w:val="superscript"/>
              </w:rPr>
              <w:t>, d</w:t>
            </w:r>
          </w:p>
        </w:tc>
        <w:tc>
          <w:tcPr>
            <w:tcW w:w="1260" w:type="dxa"/>
            <w:vAlign w:val="center"/>
          </w:tcPr>
          <w:p w14:paraId="5F6DD046" w14:textId="60C7941A" w:rsidR="0093587E" w:rsidRDefault="00B93CFF" w:rsidP="00B93CFF">
            <w:pPr>
              <w:jc w:val="center"/>
              <w:rPr>
                <w:rFonts w:cs="Arial"/>
                <w:color w:val="000000"/>
              </w:rPr>
            </w:pPr>
            <w:r>
              <w:rPr>
                <w:rFonts w:cs="Arial"/>
                <w:color w:val="000000"/>
              </w:rPr>
              <w:t>5</w:t>
            </w:r>
            <w:r w:rsidR="00AC7D87">
              <w:rPr>
                <w:rFonts w:cs="Arial"/>
                <w:color w:val="000000"/>
              </w:rPr>
              <w:t>.</w:t>
            </w:r>
            <w:r>
              <w:rPr>
                <w:rFonts w:cs="Arial"/>
                <w:color w:val="000000"/>
              </w:rPr>
              <w:t>82</w:t>
            </w:r>
            <w:r w:rsidR="00AC7D87" w:rsidRPr="005465C5">
              <w:rPr>
                <w:rFonts w:cs="Arial"/>
                <w:b/>
                <w:color w:val="000000"/>
                <w:vertAlign w:val="superscript"/>
              </w:rPr>
              <w:t xml:space="preserve"> </w:t>
            </w:r>
            <w:r w:rsidR="00AC7D87">
              <w:rPr>
                <w:rFonts w:cs="Arial"/>
                <w:b/>
                <w:color w:val="000000"/>
                <w:vertAlign w:val="superscript"/>
              </w:rPr>
              <w:t>c, d</w:t>
            </w:r>
          </w:p>
        </w:tc>
        <w:tc>
          <w:tcPr>
            <w:tcW w:w="1080" w:type="dxa"/>
          </w:tcPr>
          <w:p w14:paraId="12DC0026" w14:textId="67511AD1" w:rsidR="0093587E" w:rsidRDefault="00FB2510" w:rsidP="002646F0">
            <w:pPr>
              <w:jc w:val="center"/>
              <w:rPr>
                <w:rFonts w:cs="Arial"/>
                <w:color w:val="000000"/>
              </w:rPr>
            </w:pPr>
            <w:r>
              <w:rPr>
                <w:rFonts w:cs="Arial"/>
                <w:color w:val="000000"/>
              </w:rPr>
              <w:t>---</w:t>
            </w:r>
          </w:p>
        </w:tc>
      </w:tr>
      <w:tr w:rsidR="0093587E" w:rsidRPr="008B6878" w14:paraId="7CDF63C4" w14:textId="77777777" w:rsidTr="00C11356">
        <w:trPr>
          <w:trHeight w:val="180"/>
          <w:jc w:val="center"/>
        </w:trPr>
        <w:tc>
          <w:tcPr>
            <w:tcW w:w="3120" w:type="dxa"/>
            <w:shd w:val="clear" w:color="auto" w:fill="auto"/>
            <w:noWrap/>
            <w:tcMar>
              <w:left w:w="58" w:type="dxa"/>
              <w:right w:w="58" w:type="dxa"/>
            </w:tcMar>
            <w:vAlign w:val="center"/>
          </w:tcPr>
          <w:p w14:paraId="37623886" w14:textId="21035AC1" w:rsidR="0093587E" w:rsidRDefault="0093587E" w:rsidP="002646F0">
            <w:pPr>
              <w:rPr>
                <w:rFonts w:cs="Arial"/>
                <w:color w:val="000000"/>
              </w:rPr>
            </w:pPr>
            <w:r>
              <w:rPr>
                <w:rFonts w:cs="Arial"/>
                <w:color w:val="000000"/>
              </w:rPr>
              <w:t>Meal Transfer Baghouse</w:t>
            </w:r>
          </w:p>
        </w:tc>
        <w:tc>
          <w:tcPr>
            <w:tcW w:w="810" w:type="dxa"/>
            <w:shd w:val="clear" w:color="auto" w:fill="auto"/>
            <w:tcMar>
              <w:left w:w="58" w:type="dxa"/>
              <w:right w:w="58" w:type="dxa"/>
            </w:tcMar>
            <w:vAlign w:val="center"/>
          </w:tcPr>
          <w:p w14:paraId="4E1F3DD4" w14:textId="7879DED8" w:rsidR="0093587E" w:rsidRDefault="0093587E" w:rsidP="002646F0">
            <w:pPr>
              <w:jc w:val="center"/>
              <w:rPr>
                <w:rFonts w:cs="Arial"/>
                <w:color w:val="000000"/>
              </w:rPr>
            </w:pPr>
            <w:r>
              <w:rPr>
                <w:rFonts w:cs="Arial"/>
                <w:color w:val="000000"/>
              </w:rPr>
              <w:t>---</w:t>
            </w:r>
          </w:p>
        </w:tc>
        <w:tc>
          <w:tcPr>
            <w:tcW w:w="650" w:type="dxa"/>
            <w:shd w:val="clear" w:color="auto" w:fill="auto"/>
            <w:tcMar>
              <w:left w:w="58" w:type="dxa"/>
              <w:right w:w="58" w:type="dxa"/>
            </w:tcMar>
            <w:vAlign w:val="center"/>
          </w:tcPr>
          <w:p w14:paraId="1F93BCFE" w14:textId="4E42EC8E" w:rsidR="0093587E" w:rsidRDefault="0093587E" w:rsidP="002646F0">
            <w:pPr>
              <w:jc w:val="center"/>
              <w:rPr>
                <w:rFonts w:cs="Arial"/>
                <w:color w:val="000000"/>
              </w:rPr>
            </w:pPr>
            <w:r>
              <w:rPr>
                <w:rFonts w:cs="Arial"/>
                <w:color w:val="000000"/>
              </w:rPr>
              <w:t>---</w:t>
            </w:r>
          </w:p>
        </w:tc>
        <w:tc>
          <w:tcPr>
            <w:tcW w:w="790" w:type="dxa"/>
            <w:vAlign w:val="center"/>
          </w:tcPr>
          <w:p w14:paraId="01C620FD" w14:textId="0592FF89" w:rsidR="0093587E" w:rsidRDefault="0093587E" w:rsidP="002646F0">
            <w:pPr>
              <w:jc w:val="center"/>
              <w:rPr>
                <w:rFonts w:cs="Arial"/>
                <w:color w:val="000000"/>
              </w:rPr>
            </w:pPr>
            <w:r>
              <w:rPr>
                <w:rFonts w:cs="Arial"/>
                <w:color w:val="000000"/>
              </w:rPr>
              <w:t>---</w:t>
            </w:r>
          </w:p>
        </w:tc>
        <w:tc>
          <w:tcPr>
            <w:tcW w:w="830" w:type="dxa"/>
            <w:vAlign w:val="center"/>
          </w:tcPr>
          <w:p w14:paraId="28EC2CAE" w14:textId="2AF0FA2E" w:rsidR="0093587E" w:rsidRDefault="0093587E" w:rsidP="002646F0">
            <w:pPr>
              <w:jc w:val="center"/>
              <w:rPr>
                <w:rFonts w:cs="Arial"/>
                <w:color w:val="000000"/>
              </w:rPr>
            </w:pPr>
            <w:r>
              <w:rPr>
                <w:rFonts w:cs="Arial"/>
                <w:color w:val="000000"/>
              </w:rPr>
              <w:t>0.30</w:t>
            </w:r>
          </w:p>
        </w:tc>
        <w:tc>
          <w:tcPr>
            <w:tcW w:w="720" w:type="dxa"/>
            <w:shd w:val="clear" w:color="auto" w:fill="auto"/>
            <w:tcMar>
              <w:left w:w="58" w:type="dxa"/>
              <w:right w:w="58" w:type="dxa"/>
            </w:tcMar>
            <w:vAlign w:val="center"/>
          </w:tcPr>
          <w:p w14:paraId="077ACD7C" w14:textId="79BA927F" w:rsidR="0093587E" w:rsidRDefault="0093587E" w:rsidP="002646F0">
            <w:pPr>
              <w:jc w:val="center"/>
              <w:rPr>
                <w:rFonts w:cs="Arial"/>
                <w:color w:val="000000"/>
              </w:rPr>
            </w:pPr>
            <w:r>
              <w:rPr>
                <w:rFonts w:cs="Arial"/>
                <w:color w:val="000000"/>
              </w:rPr>
              <w:t>0.30</w:t>
            </w:r>
          </w:p>
        </w:tc>
        <w:tc>
          <w:tcPr>
            <w:tcW w:w="990" w:type="dxa"/>
            <w:shd w:val="clear" w:color="auto" w:fill="auto"/>
            <w:tcMar>
              <w:left w:w="58" w:type="dxa"/>
              <w:right w:w="58" w:type="dxa"/>
            </w:tcMar>
            <w:vAlign w:val="center"/>
          </w:tcPr>
          <w:p w14:paraId="0D29AFFE" w14:textId="7361E5BC" w:rsidR="0093587E" w:rsidRDefault="0093587E" w:rsidP="002646F0">
            <w:pPr>
              <w:jc w:val="center"/>
              <w:rPr>
                <w:rFonts w:cs="Arial"/>
                <w:color w:val="000000"/>
              </w:rPr>
            </w:pPr>
            <w:r>
              <w:rPr>
                <w:rFonts w:cs="Arial"/>
                <w:color w:val="000000"/>
              </w:rPr>
              <w:t>---</w:t>
            </w:r>
          </w:p>
        </w:tc>
        <w:tc>
          <w:tcPr>
            <w:tcW w:w="1170" w:type="dxa"/>
            <w:vAlign w:val="center"/>
          </w:tcPr>
          <w:p w14:paraId="7CF391BE" w14:textId="05B13A4D" w:rsidR="0093587E" w:rsidRDefault="00FB2510" w:rsidP="00C11356">
            <w:pPr>
              <w:jc w:val="center"/>
              <w:rPr>
                <w:rFonts w:cs="Arial"/>
                <w:color w:val="000000"/>
              </w:rPr>
            </w:pPr>
            <w:r>
              <w:rPr>
                <w:rFonts w:cs="Arial"/>
                <w:color w:val="000000"/>
              </w:rPr>
              <w:t>---</w:t>
            </w:r>
          </w:p>
        </w:tc>
        <w:tc>
          <w:tcPr>
            <w:tcW w:w="1260" w:type="dxa"/>
            <w:vAlign w:val="center"/>
          </w:tcPr>
          <w:p w14:paraId="1351619E" w14:textId="6BE9A1DD" w:rsidR="0093587E" w:rsidRDefault="0093587E" w:rsidP="00C11356">
            <w:pPr>
              <w:jc w:val="center"/>
              <w:rPr>
                <w:rFonts w:cs="Arial"/>
                <w:color w:val="000000"/>
              </w:rPr>
            </w:pPr>
            <w:r>
              <w:rPr>
                <w:rFonts w:cs="Arial"/>
                <w:color w:val="000000"/>
              </w:rPr>
              <w:t>---</w:t>
            </w:r>
          </w:p>
        </w:tc>
        <w:tc>
          <w:tcPr>
            <w:tcW w:w="1080" w:type="dxa"/>
          </w:tcPr>
          <w:p w14:paraId="341AA2AC" w14:textId="76670DCF" w:rsidR="0093587E" w:rsidRDefault="0093587E" w:rsidP="002646F0">
            <w:pPr>
              <w:jc w:val="center"/>
              <w:rPr>
                <w:rFonts w:cs="Arial"/>
                <w:color w:val="000000"/>
              </w:rPr>
            </w:pPr>
            <w:r>
              <w:rPr>
                <w:rFonts w:cs="Arial"/>
                <w:color w:val="000000"/>
              </w:rPr>
              <w:t>---</w:t>
            </w:r>
          </w:p>
        </w:tc>
      </w:tr>
      <w:tr w:rsidR="00234826" w:rsidRPr="008B6878" w14:paraId="1ACF1BAB" w14:textId="77777777" w:rsidTr="00C11356">
        <w:trPr>
          <w:trHeight w:val="480"/>
          <w:jc w:val="center"/>
        </w:trPr>
        <w:tc>
          <w:tcPr>
            <w:tcW w:w="3120" w:type="dxa"/>
            <w:shd w:val="clear" w:color="auto" w:fill="auto"/>
            <w:noWrap/>
            <w:tcMar>
              <w:left w:w="58" w:type="dxa"/>
              <w:right w:w="58" w:type="dxa"/>
            </w:tcMar>
            <w:vAlign w:val="center"/>
          </w:tcPr>
          <w:p w14:paraId="2D1960A5" w14:textId="3B373B11" w:rsidR="00234826" w:rsidRPr="008B6878" w:rsidRDefault="00234826" w:rsidP="002646F0">
            <w:pPr>
              <w:rPr>
                <w:rFonts w:cs="Arial"/>
                <w:color w:val="000000"/>
              </w:rPr>
            </w:pPr>
            <w:r>
              <w:rPr>
                <w:rFonts w:cs="Arial"/>
                <w:color w:val="000000"/>
              </w:rPr>
              <w:t>Emergency Generator (EU 018)</w:t>
            </w:r>
          </w:p>
        </w:tc>
        <w:tc>
          <w:tcPr>
            <w:tcW w:w="810" w:type="dxa"/>
            <w:shd w:val="clear" w:color="auto" w:fill="auto"/>
            <w:tcMar>
              <w:left w:w="58" w:type="dxa"/>
              <w:right w:w="58" w:type="dxa"/>
            </w:tcMar>
            <w:vAlign w:val="center"/>
          </w:tcPr>
          <w:p w14:paraId="419D56B5" w14:textId="589C909E" w:rsidR="00234826" w:rsidRDefault="00234826" w:rsidP="002646F0">
            <w:pPr>
              <w:jc w:val="center"/>
              <w:rPr>
                <w:rFonts w:cs="Arial"/>
                <w:color w:val="000000"/>
              </w:rPr>
            </w:pPr>
            <w:r>
              <w:rPr>
                <w:rFonts w:cs="Arial"/>
                <w:color w:val="000000"/>
              </w:rPr>
              <w:t>0.63</w:t>
            </w:r>
          </w:p>
        </w:tc>
        <w:tc>
          <w:tcPr>
            <w:tcW w:w="650" w:type="dxa"/>
            <w:shd w:val="clear" w:color="auto" w:fill="auto"/>
            <w:tcMar>
              <w:left w:w="58" w:type="dxa"/>
              <w:right w:w="58" w:type="dxa"/>
            </w:tcMar>
            <w:vAlign w:val="center"/>
          </w:tcPr>
          <w:p w14:paraId="4C144382" w14:textId="2C009DEF" w:rsidR="00234826" w:rsidRDefault="00234826" w:rsidP="002646F0">
            <w:pPr>
              <w:jc w:val="center"/>
              <w:rPr>
                <w:rFonts w:cs="Arial"/>
                <w:color w:val="000000"/>
              </w:rPr>
            </w:pPr>
            <w:r>
              <w:rPr>
                <w:rFonts w:cs="Arial"/>
                <w:color w:val="000000"/>
              </w:rPr>
              <w:t>2.92</w:t>
            </w:r>
          </w:p>
        </w:tc>
        <w:tc>
          <w:tcPr>
            <w:tcW w:w="790" w:type="dxa"/>
            <w:vAlign w:val="center"/>
          </w:tcPr>
          <w:p w14:paraId="406E9F54" w14:textId="2537AD90" w:rsidR="00234826" w:rsidRDefault="00234826" w:rsidP="002646F0">
            <w:pPr>
              <w:jc w:val="center"/>
              <w:rPr>
                <w:rFonts w:cs="Arial"/>
                <w:color w:val="000000"/>
              </w:rPr>
            </w:pPr>
            <w:r>
              <w:rPr>
                <w:rFonts w:cs="Arial"/>
                <w:color w:val="000000"/>
              </w:rPr>
              <w:t>0.19</w:t>
            </w:r>
          </w:p>
        </w:tc>
        <w:tc>
          <w:tcPr>
            <w:tcW w:w="830" w:type="dxa"/>
            <w:vAlign w:val="center"/>
          </w:tcPr>
          <w:p w14:paraId="6EE32FD5" w14:textId="6F1A4C3C" w:rsidR="00234826" w:rsidRDefault="00234826" w:rsidP="002646F0">
            <w:pPr>
              <w:jc w:val="center"/>
              <w:rPr>
                <w:rFonts w:cs="Arial"/>
                <w:color w:val="000000"/>
              </w:rPr>
            </w:pPr>
            <w:r>
              <w:rPr>
                <w:rFonts w:cs="Arial"/>
                <w:color w:val="000000"/>
              </w:rPr>
              <w:t>0.21</w:t>
            </w:r>
          </w:p>
        </w:tc>
        <w:tc>
          <w:tcPr>
            <w:tcW w:w="720" w:type="dxa"/>
            <w:shd w:val="clear" w:color="auto" w:fill="auto"/>
            <w:tcMar>
              <w:left w:w="58" w:type="dxa"/>
              <w:right w:w="58" w:type="dxa"/>
            </w:tcMar>
            <w:vAlign w:val="center"/>
          </w:tcPr>
          <w:p w14:paraId="1CAEE1D0" w14:textId="5EEB876A" w:rsidR="00234826" w:rsidRDefault="00234826" w:rsidP="002646F0">
            <w:pPr>
              <w:jc w:val="center"/>
              <w:rPr>
                <w:rFonts w:cs="Arial"/>
                <w:color w:val="000000"/>
              </w:rPr>
            </w:pPr>
            <w:r>
              <w:rPr>
                <w:rFonts w:cs="Arial"/>
                <w:color w:val="000000"/>
              </w:rPr>
              <w:t>0.21</w:t>
            </w:r>
          </w:p>
        </w:tc>
        <w:tc>
          <w:tcPr>
            <w:tcW w:w="990" w:type="dxa"/>
            <w:shd w:val="clear" w:color="auto" w:fill="auto"/>
            <w:tcMar>
              <w:left w:w="58" w:type="dxa"/>
              <w:right w:w="58" w:type="dxa"/>
            </w:tcMar>
            <w:vAlign w:val="center"/>
          </w:tcPr>
          <w:p w14:paraId="7C199D89" w14:textId="1463ED46" w:rsidR="00234826" w:rsidRDefault="00234826" w:rsidP="002646F0">
            <w:pPr>
              <w:jc w:val="center"/>
              <w:rPr>
                <w:rFonts w:cs="Arial"/>
                <w:color w:val="000000"/>
              </w:rPr>
            </w:pPr>
            <w:r>
              <w:rPr>
                <w:rFonts w:cs="Arial"/>
                <w:color w:val="000000"/>
              </w:rPr>
              <w:t>0.24</w:t>
            </w:r>
          </w:p>
        </w:tc>
        <w:tc>
          <w:tcPr>
            <w:tcW w:w="1170" w:type="dxa"/>
            <w:vAlign w:val="center"/>
          </w:tcPr>
          <w:p w14:paraId="3E69052E" w14:textId="1C410163" w:rsidR="00234826" w:rsidRDefault="00234826" w:rsidP="00C11356">
            <w:pPr>
              <w:jc w:val="center"/>
              <w:rPr>
                <w:rFonts w:cs="Arial"/>
                <w:color w:val="000000"/>
              </w:rPr>
            </w:pPr>
            <w:r>
              <w:rPr>
                <w:rFonts w:cs="Arial"/>
                <w:color w:val="000000"/>
              </w:rPr>
              <w:t>---</w:t>
            </w:r>
          </w:p>
        </w:tc>
        <w:tc>
          <w:tcPr>
            <w:tcW w:w="1260" w:type="dxa"/>
            <w:vAlign w:val="center"/>
          </w:tcPr>
          <w:p w14:paraId="7DBD7AB7" w14:textId="20EB9A93" w:rsidR="00234826" w:rsidRDefault="00234826" w:rsidP="00C11356">
            <w:pPr>
              <w:jc w:val="center"/>
              <w:rPr>
                <w:rFonts w:cs="Arial"/>
                <w:color w:val="000000"/>
              </w:rPr>
            </w:pPr>
            <w:r>
              <w:rPr>
                <w:rFonts w:cs="Arial"/>
                <w:color w:val="000000"/>
              </w:rPr>
              <w:t>4.24E-03</w:t>
            </w:r>
          </w:p>
        </w:tc>
        <w:tc>
          <w:tcPr>
            <w:tcW w:w="1080" w:type="dxa"/>
          </w:tcPr>
          <w:p w14:paraId="6919B8B0" w14:textId="055CF828" w:rsidR="00234826" w:rsidRDefault="00234826" w:rsidP="002646F0">
            <w:pPr>
              <w:jc w:val="center"/>
              <w:rPr>
                <w:rFonts w:cs="Arial"/>
                <w:color w:val="000000"/>
              </w:rPr>
            </w:pPr>
            <w:r>
              <w:rPr>
                <w:rFonts w:cs="Arial"/>
                <w:color w:val="000000"/>
              </w:rPr>
              <w:t>108.4</w:t>
            </w:r>
          </w:p>
        </w:tc>
      </w:tr>
      <w:tr w:rsidR="0093587E" w:rsidRPr="00AF590B" w14:paraId="13D645EC" w14:textId="77777777" w:rsidTr="00B93B57">
        <w:trPr>
          <w:trHeight w:val="730"/>
          <w:jc w:val="center"/>
        </w:trPr>
        <w:tc>
          <w:tcPr>
            <w:tcW w:w="3120" w:type="dxa"/>
            <w:shd w:val="clear" w:color="auto" w:fill="auto"/>
            <w:noWrap/>
            <w:tcMar>
              <w:left w:w="58" w:type="dxa"/>
              <w:right w:w="58" w:type="dxa"/>
            </w:tcMar>
            <w:vAlign w:val="center"/>
            <w:hideMark/>
          </w:tcPr>
          <w:p w14:paraId="257CC758" w14:textId="120D52B0" w:rsidR="0093587E" w:rsidRPr="00AF590B" w:rsidRDefault="0093587E" w:rsidP="002646F0">
            <w:pPr>
              <w:rPr>
                <w:rFonts w:cs="Arial"/>
                <w:b/>
                <w:color w:val="000000"/>
              </w:rPr>
            </w:pPr>
            <w:r w:rsidRPr="00AF590B">
              <w:rPr>
                <w:rFonts w:cs="Arial"/>
                <w:b/>
                <w:color w:val="000000"/>
              </w:rPr>
              <w:t>Facility Potential Emissions in TPY</w:t>
            </w:r>
          </w:p>
        </w:tc>
        <w:tc>
          <w:tcPr>
            <w:tcW w:w="810" w:type="dxa"/>
            <w:shd w:val="clear" w:color="auto" w:fill="auto"/>
            <w:tcMar>
              <w:left w:w="58" w:type="dxa"/>
              <w:right w:w="58" w:type="dxa"/>
            </w:tcMar>
            <w:vAlign w:val="center"/>
          </w:tcPr>
          <w:p w14:paraId="3EF84E84" w14:textId="30994445" w:rsidR="0093587E" w:rsidRPr="00AF590B" w:rsidRDefault="0093587E" w:rsidP="002646F0">
            <w:pPr>
              <w:jc w:val="center"/>
              <w:rPr>
                <w:rFonts w:cs="Arial"/>
                <w:b/>
                <w:color w:val="000000"/>
              </w:rPr>
            </w:pPr>
            <w:r w:rsidRPr="00AF590B">
              <w:rPr>
                <w:rFonts w:cs="Arial"/>
                <w:b/>
                <w:color w:val="000000"/>
              </w:rPr>
              <w:t>40.9</w:t>
            </w:r>
          </w:p>
        </w:tc>
        <w:tc>
          <w:tcPr>
            <w:tcW w:w="650" w:type="dxa"/>
            <w:shd w:val="clear" w:color="auto" w:fill="auto"/>
            <w:tcMar>
              <w:left w:w="58" w:type="dxa"/>
              <w:right w:w="58" w:type="dxa"/>
            </w:tcMar>
            <w:vAlign w:val="center"/>
          </w:tcPr>
          <w:p w14:paraId="56E8E5BC" w14:textId="02DCCAC2" w:rsidR="0093587E" w:rsidRPr="00AF590B" w:rsidRDefault="0093587E" w:rsidP="002646F0">
            <w:pPr>
              <w:jc w:val="center"/>
              <w:rPr>
                <w:rFonts w:cs="Arial"/>
                <w:b/>
                <w:color w:val="000000"/>
              </w:rPr>
            </w:pPr>
            <w:r w:rsidRPr="00AF590B">
              <w:rPr>
                <w:rFonts w:cs="Arial"/>
                <w:b/>
                <w:color w:val="000000"/>
              </w:rPr>
              <w:t>71.5</w:t>
            </w:r>
          </w:p>
        </w:tc>
        <w:tc>
          <w:tcPr>
            <w:tcW w:w="790" w:type="dxa"/>
            <w:vAlign w:val="center"/>
          </w:tcPr>
          <w:p w14:paraId="4E7E53AE" w14:textId="764AFA9C" w:rsidR="0093587E" w:rsidRPr="00AF590B" w:rsidRDefault="0093587E" w:rsidP="008B0A91">
            <w:pPr>
              <w:jc w:val="center"/>
              <w:rPr>
                <w:rFonts w:cs="Arial"/>
                <w:b/>
                <w:color w:val="000000"/>
              </w:rPr>
            </w:pPr>
            <w:r w:rsidRPr="00AF590B">
              <w:rPr>
                <w:rFonts w:cs="Arial"/>
                <w:b/>
                <w:color w:val="000000"/>
              </w:rPr>
              <w:t>249</w:t>
            </w:r>
            <w:r w:rsidR="008B0A91">
              <w:rPr>
                <w:rFonts w:cs="Arial"/>
                <w:b/>
                <w:color w:val="000000"/>
                <w:vertAlign w:val="superscript"/>
              </w:rPr>
              <w:t>e</w:t>
            </w:r>
          </w:p>
        </w:tc>
        <w:tc>
          <w:tcPr>
            <w:tcW w:w="830" w:type="dxa"/>
            <w:vAlign w:val="center"/>
          </w:tcPr>
          <w:p w14:paraId="19F66327" w14:textId="7DF3117B" w:rsidR="0093587E" w:rsidRPr="00AF590B" w:rsidRDefault="0093587E" w:rsidP="002646F0">
            <w:pPr>
              <w:jc w:val="center"/>
              <w:rPr>
                <w:rFonts w:cs="Arial"/>
                <w:b/>
                <w:color w:val="000000"/>
              </w:rPr>
            </w:pPr>
            <w:r w:rsidRPr="00AF590B">
              <w:rPr>
                <w:rFonts w:cs="Arial"/>
                <w:b/>
                <w:color w:val="000000"/>
              </w:rPr>
              <w:t>150.4</w:t>
            </w:r>
          </w:p>
        </w:tc>
        <w:tc>
          <w:tcPr>
            <w:tcW w:w="720" w:type="dxa"/>
            <w:shd w:val="clear" w:color="auto" w:fill="auto"/>
            <w:tcMar>
              <w:left w:w="58" w:type="dxa"/>
              <w:right w:w="58" w:type="dxa"/>
            </w:tcMar>
            <w:vAlign w:val="center"/>
          </w:tcPr>
          <w:p w14:paraId="18DB4A9D" w14:textId="70F296DD" w:rsidR="0093587E" w:rsidRPr="00AF590B" w:rsidRDefault="0093587E" w:rsidP="002646F0">
            <w:pPr>
              <w:jc w:val="center"/>
              <w:rPr>
                <w:rFonts w:cs="Arial"/>
                <w:b/>
                <w:color w:val="000000"/>
              </w:rPr>
            </w:pPr>
            <w:r w:rsidRPr="00AF590B">
              <w:rPr>
                <w:rFonts w:cs="Arial"/>
                <w:b/>
                <w:color w:val="000000"/>
              </w:rPr>
              <w:t>148.5</w:t>
            </w:r>
          </w:p>
        </w:tc>
        <w:tc>
          <w:tcPr>
            <w:tcW w:w="990" w:type="dxa"/>
            <w:shd w:val="clear" w:color="auto" w:fill="auto"/>
            <w:tcMar>
              <w:left w:w="58" w:type="dxa"/>
              <w:right w:w="58" w:type="dxa"/>
            </w:tcMar>
            <w:vAlign w:val="center"/>
          </w:tcPr>
          <w:p w14:paraId="2FCA29B3" w14:textId="1B3019ED" w:rsidR="0093587E" w:rsidRPr="00AF590B" w:rsidRDefault="0093587E" w:rsidP="008B0A91">
            <w:pPr>
              <w:jc w:val="center"/>
              <w:rPr>
                <w:rFonts w:cs="Arial"/>
                <w:b/>
                <w:color w:val="000000"/>
              </w:rPr>
            </w:pPr>
            <w:r w:rsidRPr="00AF590B">
              <w:rPr>
                <w:rFonts w:cs="Arial"/>
                <w:b/>
                <w:color w:val="000000"/>
              </w:rPr>
              <w:t>249</w:t>
            </w:r>
            <w:r w:rsidR="008B0A91">
              <w:rPr>
                <w:rFonts w:cs="Arial"/>
                <w:b/>
                <w:color w:val="000000"/>
                <w:vertAlign w:val="superscript"/>
              </w:rPr>
              <w:t>e</w:t>
            </w:r>
          </w:p>
        </w:tc>
        <w:tc>
          <w:tcPr>
            <w:tcW w:w="1170" w:type="dxa"/>
            <w:vAlign w:val="center"/>
          </w:tcPr>
          <w:p w14:paraId="00614DA7" w14:textId="115361C7" w:rsidR="0093587E" w:rsidRPr="00AF590B" w:rsidRDefault="00573145" w:rsidP="0086602C">
            <w:pPr>
              <w:jc w:val="center"/>
              <w:rPr>
                <w:rFonts w:cs="Arial"/>
                <w:b/>
                <w:color w:val="000000"/>
              </w:rPr>
            </w:pPr>
            <w:r>
              <w:rPr>
                <w:rFonts w:cs="Arial"/>
                <w:b/>
                <w:color w:val="000000"/>
              </w:rPr>
              <w:t>6.68</w:t>
            </w:r>
            <w:r w:rsidR="008B0A91">
              <w:rPr>
                <w:rFonts w:cs="Arial"/>
                <w:b/>
                <w:color w:val="000000"/>
                <w:vertAlign w:val="superscript"/>
              </w:rPr>
              <w:t>d</w:t>
            </w:r>
            <w:r w:rsidR="008B0A91" w:rsidRPr="008B0A91">
              <w:rPr>
                <w:rFonts w:cs="Arial"/>
                <w:b/>
                <w:color w:val="000000"/>
                <w:vertAlign w:val="superscript"/>
              </w:rPr>
              <w:t xml:space="preserve">, </w:t>
            </w:r>
            <w:r w:rsidR="0086602C">
              <w:rPr>
                <w:rFonts w:cs="Arial"/>
                <w:b/>
                <w:color w:val="000000"/>
                <w:vertAlign w:val="superscript"/>
              </w:rPr>
              <w:t>f</w:t>
            </w:r>
          </w:p>
        </w:tc>
        <w:tc>
          <w:tcPr>
            <w:tcW w:w="1260" w:type="dxa"/>
            <w:vAlign w:val="center"/>
          </w:tcPr>
          <w:p w14:paraId="79AE887F" w14:textId="5557243B" w:rsidR="0093587E" w:rsidRPr="00AF590B" w:rsidRDefault="00573145" w:rsidP="0086602C">
            <w:pPr>
              <w:jc w:val="center"/>
              <w:rPr>
                <w:rFonts w:cs="Arial"/>
                <w:b/>
                <w:color w:val="000000"/>
              </w:rPr>
            </w:pPr>
            <w:r>
              <w:rPr>
                <w:rFonts w:cs="Arial"/>
                <w:b/>
                <w:color w:val="000000"/>
              </w:rPr>
              <w:t>7.68</w:t>
            </w:r>
            <w:r w:rsidR="0086602C">
              <w:rPr>
                <w:rFonts w:cs="Arial"/>
                <w:b/>
                <w:color w:val="000000"/>
                <w:vertAlign w:val="superscript"/>
              </w:rPr>
              <w:t>f</w:t>
            </w:r>
          </w:p>
        </w:tc>
        <w:tc>
          <w:tcPr>
            <w:tcW w:w="1080" w:type="dxa"/>
            <w:vAlign w:val="center"/>
          </w:tcPr>
          <w:p w14:paraId="37B7737D" w14:textId="685A2022" w:rsidR="0093587E" w:rsidRPr="00AF590B" w:rsidRDefault="0093587E" w:rsidP="00AC707A">
            <w:pPr>
              <w:jc w:val="center"/>
              <w:rPr>
                <w:rFonts w:cs="Arial"/>
                <w:b/>
                <w:color w:val="000000"/>
              </w:rPr>
            </w:pPr>
            <w:r w:rsidRPr="00AF590B">
              <w:rPr>
                <w:rFonts w:cs="Arial"/>
                <w:b/>
                <w:color w:val="000000"/>
              </w:rPr>
              <w:t>76,895</w:t>
            </w:r>
          </w:p>
        </w:tc>
      </w:tr>
      <w:tr w:rsidR="0093587E" w:rsidRPr="008B6878" w14:paraId="70356335" w14:textId="77777777" w:rsidTr="00B93B57">
        <w:trPr>
          <w:trHeight w:val="360"/>
          <w:jc w:val="center"/>
        </w:trPr>
        <w:tc>
          <w:tcPr>
            <w:tcW w:w="3120" w:type="dxa"/>
            <w:shd w:val="clear" w:color="auto" w:fill="auto"/>
            <w:noWrap/>
            <w:tcMar>
              <w:left w:w="58" w:type="dxa"/>
              <w:right w:w="58" w:type="dxa"/>
            </w:tcMar>
            <w:vAlign w:val="center"/>
            <w:hideMark/>
          </w:tcPr>
          <w:p w14:paraId="4024DD66" w14:textId="00742892" w:rsidR="0093587E" w:rsidRPr="008B6878" w:rsidRDefault="0093587E" w:rsidP="002646F0">
            <w:pPr>
              <w:rPr>
                <w:rFonts w:cs="Arial"/>
                <w:color w:val="000000"/>
              </w:rPr>
            </w:pPr>
            <w:r w:rsidRPr="008B6878">
              <w:rPr>
                <w:rFonts w:cs="Arial"/>
                <w:color w:val="000000"/>
              </w:rPr>
              <w:t>PSD Applicability Threshold</w:t>
            </w:r>
          </w:p>
          <w:p w14:paraId="614E568A" w14:textId="77777777" w:rsidR="0093587E" w:rsidRPr="008B6878" w:rsidRDefault="0093587E" w:rsidP="002646F0">
            <w:pPr>
              <w:rPr>
                <w:rFonts w:cs="Arial"/>
                <w:color w:val="000000"/>
              </w:rPr>
            </w:pPr>
          </w:p>
        </w:tc>
        <w:tc>
          <w:tcPr>
            <w:tcW w:w="810" w:type="dxa"/>
            <w:shd w:val="clear" w:color="auto" w:fill="auto"/>
            <w:tcMar>
              <w:left w:w="58" w:type="dxa"/>
              <w:right w:w="58" w:type="dxa"/>
            </w:tcMar>
            <w:vAlign w:val="center"/>
            <w:hideMark/>
          </w:tcPr>
          <w:p w14:paraId="155AC6B9" w14:textId="77777777" w:rsidR="0093587E" w:rsidRPr="008B6878" w:rsidRDefault="0093587E" w:rsidP="002646F0">
            <w:pPr>
              <w:jc w:val="center"/>
              <w:rPr>
                <w:rFonts w:cs="Arial"/>
                <w:color w:val="000000"/>
              </w:rPr>
            </w:pPr>
            <w:r w:rsidRPr="008B6878">
              <w:rPr>
                <w:rFonts w:cs="Arial"/>
                <w:color w:val="000000"/>
              </w:rPr>
              <w:t>250</w:t>
            </w:r>
          </w:p>
        </w:tc>
        <w:tc>
          <w:tcPr>
            <w:tcW w:w="650" w:type="dxa"/>
            <w:shd w:val="clear" w:color="auto" w:fill="auto"/>
            <w:tcMar>
              <w:left w:w="58" w:type="dxa"/>
              <w:right w:w="58" w:type="dxa"/>
            </w:tcMar>
            <w:vAlign w:val="center"/>
            <w:hideMark/>
          </w:tcPr>
          <w:p w14:paraId="568671D6" w14:textId="77777777" w:rsidR="0093587E" w:rsidRPr="008B6878" w:rsidRDefault="0093587E" w:rsidP="002646F0">
            <w:pPr>
              <w:jc w:val="center"/>
              <w:rPr>
                <w:rFonts w:cs="Arial"/>
                <w:color w:val="000000"/>
              </w:rPr>
            </w:pPr>
            <w:r w:rsidRPr="008B6878">
              <w:rPr>
                <w:rFonts w:cs="Arial"/>
                <w:color w:val="000000"/>
              </w:rPr>
              <w:t>250</w:t>
            </w:r>
          </w:p>
        </w:tc>
        <w:tc>
          <w:tcPr>
            <w:tcW w:w="790" w:type="dxa"/>
            <w:vAlign w:val="center"/>
          </w:tcPr>
          <w:p w14:paraId="4988DC13" w14:textId="3CB78A54" w:rsidR="0093587E" w:rsidRPr="008B6878" w:rsidRDefault="0093587E" w:rsidP="002646F0">
            <w:pPr>
              <w:jc w:val="center"/>
              <w:rPr>
                <w:rFonts w:cs="Arial"/>
                <w:color w:val="000000"/>
              </w:rPr>
            </w:pPr>
            <w:r w:rsidRPr="008B6878">
              <w:rPr>
                <w:rFonts w:cs="Arial"/>
                <w:color w:val="000000"/>
              </w:rPr>
              <w:t>250</w:t>
            </w:r>
          </w:p>
        </w:tc>
        <w:tc>
          <w:tcPr>
            <w:tcW w:w="830" w:type="dxa"/>
            <w:vAlign w:val="center"/>
          </w:tcPr>
          <w:p w14:paraId="4B470F96" w14:textId="034509F0" w:rsidR="0093587E" w:rsidRPr="008B6878" w:rsidRDefault="0093587E" w:rsidP="002646F0">
            <w:pPr>
              <w:jc w:val="center"/>
              <w:rPr>
                <w:rFonts w:cs="Arial"/>
                <w:color w:val="000000"/>
              </w:rPr>
            </w:pPr>
            <w:r>
              <w:rPr>
                <w:rFonts w:cs="Arial"/>
                <w:color w:val="000000"/>
              </w:rPr>
              <w:t>250</w:t>
            </w:r>
          </w:p>
        </w:tc>
        <w:tc>
          <w:tcPr>
            <w:tcW w:w="720" w:type="dxa"/>
            <w:shd w:val="clear" w:color="auto" w:fill="auto"/>
            <w:tcMar>
              <w:left w:w="58" w:type="dxa"/>
              <w:right w:w="58" w:type="dxa"/>
            </w:tcMar>
            <w:vAlign w:val="center"/>
            <w:hideMark/>
          </w:tcPr>
          <w:p w14:paraId="24D3C37E" w14:textId="77777777" w:rsidR="0093587E" w:rsidRPr="008B6878" w:rsidRDefault="0093587E" w:rsidP="002646F0">
            <w:pPr>
              <w:jc w:val="center"/>
              <w:rPr>
                <w:rFonts w:cs="Arial"/>
                <w:color w:val="000000"/>
              </w:rPr>
            </w:pPr>
            <w:r w:rsidRPr="008B6878">
              <w:rPr>
                <w:rFonts w:cs="Arial"/>
                <w:color w:val="000000"/>
              </w:rPr>
              <w:t>250</w:t>
            </w:r>
          </w:p>
        </w:tc>
        <w:tc>
          <w:tcPr>
            <w:tcW w:w="990" w:type="dxa"/>
            <w:shd w:val="clear" w:color="auto" w:fill="auto"/>
            <w:noWrap/>
            <w:tcMar>
              <w:left w:w="58" w:type="dxa"/>
              <w:right w:w="58" w:type="dxa"/>
            </w:tcMar>
            <w:vAlign w:val="center"/>
            <w:hideMark/>
          </w:tcPr>
          <w:p w14:paraId="6AFF87D2" w14:textId="77777777" w:rsidR="0093587E" w:rsidRPr="008B6878" w:rsidRDefault="0093587E" w:rsidP="002646F0">
            <w:pPr>
              <w:jc w:val="center"/>
              <w:rPr>
                <w:rFonts w:cs="Arial"/>
                <w:color w:val="000000"/>
              </w:rPr>
            </w:pPr>
            <w:r w:rsidRPr="008B6878">
              <w:rPr>
                <w:rFonts w:cs="Arial"/>
                <w:color w:val="000000"/>
              </w:rPr>
              <w:t>250</w:t>
            </w:r>
          </w:p>
        </w:tc>
        <w:tc>
          <w:tcPr>
            <w:tcW w:w="1170" w:type="dxa"/>
            <w:shd w:val="clear" w:color="auto" w:fill="D9D9D9" w:themeFill="background1" w:themeFillShade="D9"/>
          </w:tcPr>
          <w:p w14:paraId="5CAB1EC0" w14:textId="77777777" w:rsidR="0093587E" w:rsidRPr="008B6878" w:rsidRDefault="0093587E" w:rsidP="002646F0">
            <w:pPr>
              <w:jc w:val="center"/>
              <w:rPr>
                <w:rFonts w:cs="Arial"/>
                <w:color w:val="000000"/>
              </w:rPr>
            </w:pPr>
          </w:p>
        </w:tc>
        <w:tc>
          <w:tcPr>
            <w:tcW w:w="1260" w:type="dxa"/>
            <w:shd w:val="clear" w:color="auto" w:fill="D9D9D9" w:themeFill="background1" w:themeFillShade="D9"/>
          </w:tcPr>
          <w:p w14:paraId="680A7554" w14:textId="24514404" w:rsidR="0093587E" w:rsidRPr="008B6878" w:rsidRDefault="0093587E" w:rsidP="002646F0">
            <w:pPr>
              <w:jc w:val="center"/>
              <w:rPr>
                <w:rFonts w:cs="Arial"/>
                <w:color w:val="000000"/>
              </w:rPr>
            </w:pPr>
          </w:p>
        </w:tc>
        <w:tc>
          <w:tcPr>
            <w:tcW w:w="1080" w:type="dxa"/>
            <w:shd w:val="clear" w:color="auto" w:fill="auto"/>
          </w:tcPr>
          <w:p w14:paraId="74440309" w14:textId="7C5A3B84" w:rsidR="0093587E" w:rsidRPr="008B6878" w:rsidRDefault="0093587E" w:rsidP="005857D9">
            <w:pPr>
              <w:jc w:val="center"/>
              <w:rPr>
                <w:rFonts w:cs="Arial"/>
                <w:color w:val="000000"/>
              </w:rPr>
            </w:pPr>
            <w:r w:rsidRPr="008B6878">
              <w:rPr>
                <w:rFonts w:cs="Arial"/>
                <w:color w:val="000000"/>
              </w:rPr>
              <w:t>100,000</w:t>
            </w:r>
          </w:p>
        </w:tc>
      </w:tr>
      <w:tr w:rsidR="0093587E" w:rsidRPr="008B6878" w14:paraId="158EB5F2" w14:textId="77777777" w:rsidTr="00267FF1">
        <w:trPr>
          <w:trHeight w:val="360"/>
          <w:jc w:val="center"/>
        </w:trPr>
        <w:tc>
          <w:tcPr>
            <w:tcW w:w="3120" w:type="dxa"/>
            <w:shd w:val="clear" w:color="auto" w:fill="auto"/>
            <w:noWrap/>
            <w:tcMar>
              <w:left w:w="58" w:type="dxa"/>
              <w:right w:w="58" w:type="dxa"/>
            </w:tcMar>
            <w:vAlign w:val="center"/>
            <w:hideMark/>
          </w:tcPr>
          <w:p w14:paraId="4B2BDAAB" w14:textId="77777777" w:rsidR="0093587E" w:rsidRPr="008B6878" w:rsidRDefault="0093587E" w:rsidP="002646F0">
            <w:pPr>
              <w:rPr>
                <w:rFonts w:cs="Arial"/>
                <w:color w:val="000000"/>
              </w:rPr>
            </w:pPr>
            <w:r w:rsidRPr="008B6878">
              <w:rPr>
                <w:rFonts w:cs="Arial"/>
                <w:color w:val="000000"/>
              </w:rPr>
              <w:t>Title V Applicability Threshold</w:t>
            </w:r>
          </w:p>
        </w:tc>
        <w:tc>
          <w:tcPr>
            <w:tcW w:w="810" w:type="dxa"/>
            <w:shd w:val="clear" w:color="auto" w:fill="auto"/>
            <w:tcMar>
              <w:left w:w="58" w:type="dxa"/>
              <w:right w:w="58" w:type="dxa"/>
            </w:tcMar>
            <w:vAlign w:val="center"/>
            <w:hideMark/>
          </w:tcPr>
          <w:p w14:paraId="6C70BA0B" w14:textId="77777777" w:rsidR="0093587E" w:rsidRPr="008B6878" w:rsidRDefault="0093587E" w:rsidP="002646F0">
            <w:pPr>
              <w:jc w:val="center"/>
              <w:rPr>
                <w:rFonts w:cs="Arial"/>
                <w:color w:val="000000"/>
              </w:rPr>
            </w:pPr>
            <w:r w:rsidRPr="008B6878">
              <w:rPr>
                <w:rFonts w:cs="Arial"/>
                <w:color w:val="000000"/>
              </w:rPr>
              <w:t>100</w:t>
            </w:r>
          </w:p>
        </w:tc>
        <w:tc>
          <w:tcPr>
            <w:tcW w:w="650" w:type="dxa"/>
            <w:shd w:val="clear" w:color="auto" w:fill="auto"/>
            <w:tcMar>
              <w:left w:w="58" w:type="dxa"/>
              <w:right w:w="58" w:type="dxa"/>
            </w:tcMar>
            <w:vAlign w:val="center"/>
            <w:hideMark/>
          </w:tcPr>
          <w:p w14:paraId="3B9E35BA" w14:textId="77777777" w:rsidR="0093587E" w:rsidRPr="008B6878" w:rsidRDefault="0093587E" w:rsidP="002646F0">
            <w:pPr>
              <w:jc w:val="center"/>
              <w:rPr>
                <w:rFonts w:cs="Arial"/>
                <w:color w:val="000000"/>
              </w:rPr>
            </w:pPr>
            <w:r w:rsidRPr="008B6878">
              <w:rPr>
                <w:rFonts w:cs="Arial"/>
                <w:color w:val="000000"/>
              </w:rPr>
              <w:t>100</w:t>
            </w:r>
          </w:p>
        </w:tc>
        <w:tc>
          <w:tcPr>
            <w:tcW w:w="790" w:type="dxa"/>
            <w:vAlign w:val="center"/>
          </w:tcPr>
          <w:p w14:paraId="305D42DC" w14:textId="6842811E" w:rsidR="0093587E" w:rsidRPr="008B6878" w:rsidRDefault="0093587E" w:rsidP="002646F0">
            <w:pPr>
              <w:jc w:val="center"/>
              <w:rPr>
                <w:rFonts w:cs="Arial"/>
                <w:color w:val="000000"/>
              </w:rPr>
            </w:pPr>
            <w:r w:rsidRPr="008B6878">
              <w:rPr>
                <w:rFonts w:cs="Arial"/>
                <w:color w:val="000000"/>
              </w:rPr>
              <w:t>100</w:t>
            </w:r>
          </w:p>
        </w:tc>
        <w:tc>
          <w:tcPr>
            <w:tcW w:w="830" w:type="dxa"/>
            <w:vAlign w:val="center"/>
          </w:tcPr>
          <w:p w14:paraId="79C5DCB5" w14:textId="2B07206C" w:rsidR="0093587E" w:rsidRPr="008B6878" w:rsidRDefault="0093587E" w:rsidP="00267FF1">
            <w:pPr>
              <w:jc w:val="center"/>
              <w:rPr>
                <w:rFonts w:cs="Arial"/>
                <w:color w:val="000000"/>
              </w:rPr>
            </w:pPr>
            <w:r>
              <w:rPr>
                <w:rFonts w:cs="Arial"/>
                <w:color w:val="000000"/>
              </w:rPr>
              <w:t>100</w:t>
            </w:r>
          </w:p>
        </w:tc>
        <w:tc>
          <w:tcPr>
            <w:tcW w:w="720" w:type="dxa"/>
            <w:shd w:val="clear" w:color="auto" w:fill="auto"/>
            <w:tcMar>
              <w:left w:w="58" w:type="dxa"/>
              <w:right w:w="58" w:type="dxa"/>
            </w:tcMar>
            <w:vAlign w:val="center"/>
            <w:hideMark/>
          </w:tcPr>
          <w:p w14:paraId="2A8B6D45" w14:textId="77777777" w:rsidR="0093587E" w:rsidRPr="008B6878" w:rsidRDefault="0093587E" w:rsidP="002646F0">
            <w:pPr>
              <w:jc w:val="center"/>
              <w:rPr>
                <w:rFonts w:cs="Arial"/>
                <w:color w:val="000000"/>
              </w:rPr>
            </w:pPr>
            <w:r w:rsidRPr="008B6878">
              <w:rPr>
                <w:rFonts w:cs="Arial"/>
                <w:color w:val="000000"/>
              </w:rPr>
              <w:t>100</w:t>
            </w:r>
          </w:p>
        </w:tc>
        <w:tc>
          <w:tcPr>
            <w:tcW w:w="990" w:type="dxa"/>
            <w:shd w:val="clear" w:color="auto" w:fill="auto"/>
            <w:tcMar>
              <w:left w:w="58" w:type="dxa"/>
              <w:right w:w="58" w:type="dxa"/>
            </w:tcMar>
            <w:vAlign w:val="center"/>
            <w:hideMark/>
          </w:tcPr>
          <w:p w14:paraId="41EBA9B0" w14:textId="77777777" w:rsidR="0093587E" w:rsidRPr="008B6878" w:rsidRDefault="0093587E" w:rsidP="002646F0">
            <w:pPr>
              <w:jc w:val="center"/>
              <w:rPr>
                <w:rFonts w:cs="Arial"/>
                <w:color w:val="000000"/>
              </w:rPr>
            </w:pPr>
            <w:r w:rsidRPr="008B6878">
              <w:rPr>
                <w:rFonts w:cs="Arial"/>
                <w:color w:val="000000"/>
              </w:rPr>
              <w:t>100</w:t>
            </w:r>
          </w:p>
        </w:tc>
        <w:tc>
          <w:tcPr>
            <w:tcW w:w="1170" w:type="dxa"/>
          </w:tcPr>
          <w:p w14:paraId="20D29E3A" w14:textId="78FB91C8" w:rsidR="0093587E" w:rsidRPr="008B6878" w:rsidRDefault="0093587E" w:rsidP="002646F0">
            <w:pPr>
              <w:jc w:val="center"/>
              <w:rPr>
                <w:rFonts w:cs="Arial"/>
                <w:color w:val="000000"/>
              </w:rPr>
            </w:pPr>
            <w:r>
              <w:rPr>
                <w:rFonts w:cs="Arial"/>
                <w:color w:val="000000"/>
              </w:rPr>
              <w:t>10</w:t>
            </w:r>
          </w:p>
        </w:tc>
        <w:tc>
          <w:tcPr>
            <w:tcW w:w="1260" w:type="dxa"/>
            <w:shd w:val="clear" w:color="auto" w:fill="auto"/>
          </w:tcPr>
          <w:p w14:paraId="08D99291" w14:textId="6614A7F4" w:rsidR="0093587E" w:rsidRPr="008B6878" w:rsidRDefault="0093587E" w:rsidP="002646F0">
            <w:pPr>
              <w:jc w:val="center"/>
              <w:rPr>
                <w:rFonts w:cs="Arial"/>
                <w:color w:val="000000"/>
              </w:rPr>
            </w:pPr>
            <w:r w:rsidRPr="008B6878">
              <w:rPr>
                <w:rFonts w:cs="Arial"/>
                <w:color w:val="000000"/>
              </w:rPr>
              <w:t>25</w:t>
            </w:r>
          </w:p>
        </w:tc>
        <w:tc>
          <w:tcPr>
            <w:tcW w:w="1080" w:type="dxa"/>
            <w:shd w:val="clear" w:color="auto" w:fill="D9D9D9" w:themeFill="background1" w:themeFillShade="D9"/>
          </w:tcPr>
          <w:p w14:paraId="1DD87F0C" w14:textId="77777777" w:rsidR="0093587E" w:rsidRPr="008B6878" w:rsidRDefault="0093587E" w:rsidP="002646F0">
            <w:pPr>
              <w:jc w:val="center"/>
              <w:rPr>
                <w:rFonts w:cs="Arial"/>
                <w:color w:val="000000"/>
              </w:rPr>
            </w:pPr>
          </w:p>
        </w:tc>
      </w:tr>
      <w:tr w:rsidR="0093587E" w:rsidRPr="008B6878" w14:paraId="63159465" w14:textId="77777777" w:rsidTr="00B93B57">
        <w:trPr>
          <w:trHeight w:val="360"/>
          <w:jc w:val="center"/>
        </w:trPr>
        <w:tc>
          <w:tcPr>
            <w:tcW w:w="3120" w:type="dxa"/>
            <w:shd w:val="clear" w:color="auto" w:fill="auto"/>
            <w:noWrap/>
            <w:tcMar>
              <w:left w:w="58" w:type="dxa"/>
              <w:right w:w="58" w:type="dxa"/>
            </w:tcMar>
            <w:vAlign w:val="center"/>
            <w:hideMark/>
          </w:tcPr>
          <w:p w14:paraId="1EE6BC70" w14:textId="65655D0C" w:rsidR="0093587E" w:rsidRPr="008B6878" w:rsidRDefault="0093587E" w:rsidP="002646F0">
            <w:pPr>
              <w:rPr>
                <w:rFonts w:cs="Arial"/>
                <w:color w:val="000000"/>
              </w:rPr>
            </w:pPr>
            <w:r>
              <w:rPr>
                <w:rFonts w:cs="Arial"/>
                <w:color w:val="000000"/>
              </w:rPr>
              <w:t>PSD Major Source</w:t>
            </w:r>
          </w:p>
        </w:tc>
        <w:tc>
          <w:tcPr>
            <w:tcW w:w="810" w:type="dxa"/>
            <w:shd w:val="clear" w:color="auto" w:fill="auto"/>
            <w:tcMar>
              <w:left w:w="58" w:type="dxa"/>
              <w:right w:w="58" w:type="dxa"/>
            </w:tcMar>
            <w:vAlign w:val="center"/>
            <w:hideMark/>
          </w:tcPr>
          <w:p w14:paraId="14D7DF05" w14:textId="77777777" w:rsidR="0093587E" w:rsidRPr="008B6878" w:rsidRDefault="0093587E" w:rsidP="002646F0">
            <w:pPr>
              <w:jc w:val="center"/>
              <w:rPr>
                <w:rFonts w:cs="Arial"/>
                <w:color w:val="000000"/>
              </w:rPr>
            </w:pPr>
            <w:r w:rsidRPr="008B6878">
              <w:rPr>
                <w:rFonts w:cs="Arial"/>
                <w:color w:val="000000"/>
              </w:rPr>
              <w:t>No</w:t>
            </w:r>
          </w:p>
        </w:tc>
        <w:tc>
          <w:tcPr>
            <w:tcW w:w="650" w:type="dxa"/>
            <w:shd w:val="clear" w:color="auto" w:fill="auto"/>
            <w:tcMar>
              <w:left w:w="58" w:type="dxa"/>
              <w:right w:w="58" w:type="dxa"/>
            </w:tcMar>
            <w:vAlign w:val="center"/>
            <w:hideMark/>
          </w:tcPr>
          <w:p w14:paraId="38937D7C" w14:textId="77777777" w:rsidR="0093587E" w:rsidRPr="008B6878" w:rsidRDefault="0093587E" w:rsidP="002646F0">
            <w:pPr>
              <w:jc w:val="center"/>
              <w:rPr>
                <w:rFonts w:cs="Arial"/>
                <w:color w:val="000000"/>
              </w:rPr>
            </w:pPr>
            <w:r w:rsidRPr="008B6878">
              <w:rPr>
                <w:rFonts w:cs="Arial"/>
                <w:color w:val="000000"/>
              </w:rPr>
              <w:t>No</w:t>
            </w:r>
          </w:p>
        </w:tc>
        <w:tc>
          <w:tcPr>
            <w:tcW w:w="790" w:type="dxa"/>
            <w:vAlign w:val="center"/>
          </w:tcPr>
          <w:p w14:paraId="55DF4B02" w14:textId="5A605C79" w:rsidR="0093587E" w:rsidRPr="008B6878" w:rsidRDefault="0093587E" w:rsidP="002646F0">
            <w:pPr>
              <w:jc w:val="center"/>
              <w:rPr>
                <w:rFonts w:cs="Arial"/>
                <w:color w:val="000000"/>
              </w:rPr>
            </w:pPr>
            <w:r w:rsidRPr="008B6878">
              <w:rPr>
                <w:rFonts w:cs="Arial"/>
                <w:color w:val="000000"/>
              </w:rPr>
              <w:t>No</w:t>
            </w:r>
          </w:p>
        </w:tc>
        <w:tc>
          <w:tcPr>
            <w:tcW w:w="830" w:type="dxa"/>
            <w:vAlign w:val="center"/>
          </w:tcPr>
          <w:p w14:paraId="415573DD" w14:textId="7CAF70FE" w:rsidR="0093587E" w:rsidRPr="008B6878" w:rsidRDefault="0093587E" w:rsidP="002646F0">
            <w:pPr>
              <w:jc w:val="center"/>
              <w:rPr>
                <w:rFonts w:cs="Arial"/>
                <w:color w:val="000000"/>
              </w:rPr>
            </w:pPr>
            <w:r>
              <w:rPr>
                <w:rFonts w:cs="Arial"/>
                <w:color w:val="000000"/>
              </w:rPr>
              <w:t>No</w:t>
            </w:r>
          </w:p>
        </w:tc>
        <w:tc>
          <w:tcPr>
            <w:tcW w:w="720" w:type="dxa"/>
            <w:shd w:val="clear" w:color="auto" w:fill="auto"/>
            <w:tcMar>
              <w:left w:w="58" w:type="dxa"/>
              <w:right w:w="58" w:type="dxa"/>
            </w:tcMar>
            <w:vAlign w:val="center"/>
            <w:hideMark/>
          </w:tcPr>
          <w:p w14:paraId="334E8244" w14:textId="77777777" w:rsidR="0093587E" w:rsidRPr="008B6878" w:rsidRDefault="0093587E" w:rsidP="002646F0">
            <w:pPr>
              <w:jc w:val="center"/>
              <w:rPr>
                <w:rFonts w:cs="Arial"/>
                <w:color w:val="000000"/>
              </w:rPr>
            </w:pPr>
            <w:r w:rsidRPr="008B6878">
              <w:rPr>
                <w:rFonts w:cs="Arial"/>
                <w:color w:val="000000"/>
              </w:rPr>
              <w:t>No</w:t>
            </w:r>
          </w:p>
        </w:tc>
        <w:tc>
          <w:tcPr>
            <w:tcW w:w="990" w:type="dxa"/>
            <w:shd w:val="clear" w:color="auto" w:fill="auto"/>
            <w:tcMar>
              <w:left w:w="58" w:type="dxa"/>
              <w:right w:w="58" w:type="dxa"/>
            </w:tcMar>
            <w:vAlign w:val="center"/>
            <w:hideMark/>
          </w:tcPr>
          <w:p w14:paraId="65E83687" w14:textId="77777777" w:rsidR="0093587E" w:rsidRPr="008B6878" w:rsidRDefault="0093587E" w:rsidP="002646F0">
            <w:pPr>
              <w:jc w:val="center"/>
              <w:rPr>
                <w:rFonts w:cs="Arial"/>
                <w:color w:val="000000"/>
              </w:rPr>
            </w:pPr>
            <w:r w:rsidRPr="008B6878">
              <w:rPr>
                <w:rFonts w:cs="Arial"/>
                <w:color w:val="000000"/>
              </w:rPr>
              <w:t>No</w:t>
            </w:r>
          </w:p>
        </w:tc>
        <w:tc>
          <w:tcPr>
            <w:tcW w:w="1170" w:type="dxa"/>
            <w:shd w:val="clear" w:color="auto" w:fill="D9D9D9" w:themeFill="background1" w:themeFillShade="D9"/>
          </w:tcPr>
          <w:p w14:paraId="481EA7DD" w14:textId="77777777" w:rsidR="0093587E" w:rsidRPr="008B6878" w:rsidRDefault="0093587E" w:rsidP="002646F0">
            <w:pPr>
              <w:jc w:val="center"/>
              <w:rPr>
                <w:rFonts w:cs="Arial"/>
                <w:color w:val="000000"/>
              </w:rPr>
            </w:pPr>
          </w:p>
        </w:tc>
        <w:tc>
          <w:tcPr>
            <w:tcW w:w="1260" w:type="dxa"/>
            <w:shd w:val="clear" w:color="auto" w:fill="D9D9D9" w:themeFill="background1" w:themeFillShade="D9"/>
          </w:tcPr>
          <w:p w14:paraId="1880D25B" w14:textId="4B0CE0F3" w:rsidR="0093587E" w:rsidRPr="008B6878" w:rsidRDefault="0093587E" w:rsidP="002646F0">
            <w:pPr>
              <w:jc w:val="center"/>
              <w:rPr>
                <w:rFonts w:cs="Arial"/>
                <w:color w:val="000000"/>
              </w:rPr>
            </w:pPr>
          </w:p>
        </w:tc>
        <w:tc>
          <w:tcPr>
            <w:tcW w:w="1080" w:type="dxa"/>
          </w:tcPr>
          <w:p w14:paraId="2112A375" w14:textId="77777777" w:rsidR="0093587E" w:rsidRPr="008B6878" w:rsidRDefault="0093587E" w:rsidP="002646F0">
            <w:pPr>
              <w:jc w:val="center"/>
              <w:rPr>
                <w:rFonts w:cs="Arial"/>
                <w:color w:val="000000"/>
              </w:rPr>
            </w:pPr>
            <w:r w:rsidRPr="008B6878">
              <w:rPr>
                <w:rFonts w:cs="Arial"/>
                <w:color w:val="000000"/>
              </w:rPr>
              <w:t>No</w:t>
            </w:r>
          </w:p>
        </w:tc>
      </w:tr>
      <w:tr w:rsidR="0093587E" w:rsidRPr="008B6878" w14:paraId="54D97D02" w14:textId="77777777" w:rsidTr="00B93B57">
        <w:trPr>
          <w:trHeight w:val="637"/>
          <w:jc w:val="center"/>
        </w:trPr>
        <w:tc>
          <w:tcPr>
            <w:tcW w:w="3120" w:type="dxa"/>
            <w:shd w:val="clear" w:color="auto" w:fill="auto"/>
            <w:noWrap/>
            <w:tcMar>
              <w:left w:w="58" w:type="dxa"/>
              <w:right w:w="58" w:type="dxa"/>
            </w:tcMar>
            <w:vAlign w:val="center"/>
            <w:hideMark/>
          </w:tcPr>
          <w:p w14:paraId="4DEADF2D" w14:textId="77777777" w:rsidR="0093587E" w:rsidRPr="008B6878" w:rsidRDefault="0093587E" w:rsidP="002646F0">
            <w:pPr>
              <w:rPr>
                <w:rFonts w:cs="Arial"/>
                <w:color w:val="000000"/>
              </w:rPr>
            </w:pPr>
            <w:r w:rsidRPr="008B6878">
              <w:rPr>
                <w:rFonts w:cs="Arial"/>
                <w:color w:val="000000"/>
              </w:rPr>
              <w:t>Title V Applicability?</w:t>
            </w:r>
          </w:p>
        </w:tc>
        <w:tc>
          <w:tcPr>
            <w:tcW w:w="810" w:type="dxa"/>
            <w:shd w:val="clear" w:color="auto" w:fill="auto"/>
            <w:vAlign w:val="center"/>
          </w:tcPr>
          <w:p w14:paraId="46809E2F" w14:textId="77777777" w:rsidR="0093587E" w:rsidRPr="008B6878" w:rsidRDefault="0093587E" w:rsidP="002646F0">
            <w:pPr>
              <w:jc w:val="center"/>
              <w:rPr>
                <w:rFonts w:cs="Arial"/>
                <w:color w:val="000000"/>
              </w:rPr>
            </w:pPr>
            <w:r w:rsidRPr="008B6878">
              <w:rPr>
                <w:rFonts w:cs="Arial"/>
                <w:color w:val="000000"/>
              </w:rPr>
              <w:t>No</w:t>
            </w:r>
          </w:p>
        </w:tc>
        <w:tc>
          <w:tcPr>
            <w:tcW w:w="650" w:type="dxa"/>
            <w:shd w:val="clear" w:color="auto" w:fill="auto"/>
            <w:vAlign w:val="center"/>
          </w:tcPr>
          <w:p w14:paraId="4F414CF0" w14:textId="678EAB45" w:rsidR="0093587E" w:rsidRPr="008B6878" w:rsidRDefault="0093587E" w:rsidP="002646F0">
            <w:pPr>
              <w:jc w:val="center"/>
              <w:rPr>
                <w:rFonts w:cs="Arial"/>
                <w:color w:val="000000"/>
              </w:rPr>
            </w:pPr>
            <w:r>
              <w:rPr>
                <w:rFonts w:cs="Arial"/>
                <w:color w:val="000000"/>
              </w:rPr>
              <w:t>No</w:t>
            </w:r>
          </w:p>
        </w:tc>
        <w:tc>
          <w:tcPr>
            <w:tcW w:w="790" w:type="dxa"/>
            <w:vAlign w:val="center"/>
          </w:tcPr>
          <w:p w14:paraId="1D2769E5" w14:textId="3B3309DD" w:rsidR="0093587E" w:rsidRPr="008B6878" w:rsidRDefault="0093587E" w:rsidP="002646F0">
            <w:pPr>
              <w:jc w:val="center"/>
              <w:rPr>
                <w:rFonts w:cs="Arial"/>
                <w:color w:val="000000"/>
              </w:rPr>
            </w:pPr>
            <w:r>
              <w:rPr>
                <w:rFonts w:cs="Arial"/>
                <w:color w:val="000000"/>
              </w:rPr>
              <w:t>Yes</w:t>
            </w:r>
          </w:p>
        </w:tc>
        <w:tc>
          <w:tcPr>
            <w:tcW w:w="830" w:type="dxa"/>
            <w:vAlign w:val="center"/>
          </w:tcPr>
          <w:p w14:paraId="7CC99DD6" w14:textId="300E2DFD" w:rsidR="0093587E" w:rsidRPr="008B6878" w:rsidRDefault="0093587E" w:rsidP="002646F0">
            <w:pPr>
              <w:jc w:val="center"/>
              <w:rPr>
                <w:rFonts w:cs="Arial"/>
                <w:color w:val="000000"/>
              </w:rPr>
            </w:pPr>
            <w:r>
              <w:rPr>
                <w:rFonts w:cs="Arial"/>
                <w:color w:val="000000"/>
              </w:rPr>
              <w:t>Yes</w:t>
            </w:r>
          </w:p>
        </w:tc>
        <w:tc>
          <w:tcPr>
            <w:tcW w:w="720" w:type="dxa"/>
            <w:shd w:val="clear" w:color="auto" w:fill="auto"/>
            <w:vAlign w:val="center"/>
          </w:tcPr>
          <w:p w14:paraId="5C6A4BA6" w14:textId="0FA2254A" w:rsidR="0093587E" w:rsidRPr="008B6878" w:rsidRDefault="0093587E" w:rsidP="002646F0">
            <w:pPr>
              <w:jc w:val="center"/>
              <w:rPr>
                <w:rFonts w:cs="Arial"/>
                <w:color w:val="000000"/>
              </w:rPr>
            </w:pPr>
            <w:r>
              <w:rPr>
                <w:rFonts w:cs="Arial"/>
                <w:color w:val="000000"/>
              </w:rPr>
              <w:t>Yes</w:t>
            </w:r>
          </w:p>
        </w:tc>
        <w:tc>
          <w:tcPr>
            <w:tcW w:w="990" w:type="dxa"/>
            <w:shd w:val="clear" w:color="auto" w:fill="auto"/>
            <w:vAlign w:val="center"/>
          </w:tcPr>
          <w:p w14:paraId="74E4F7A4" w14:textId="544564BC" w:rsidR="0093587E" w:rsidRPr="008B6878" w:rsidRDefault="0093587E" w:rsidP="002646F0">
            <w:pPr>
              <w:jc w:val="center"/>
              <w:rPr>
                <w:rFonts w:cs="Arial"/>
                <w:color w:val="000000"/>
              </w:rPr>
            </w:pPr>
            <w:r>
              <w:rPr>
                <w:rFonts w:cs="Arial"/>
                <w:color w:val="000000"/>
              </w:rPr>
              <w:t>Yes</w:t>
            </w:r>
          </w:p>
        </w:tc>
        <w:tc>
          <w:tcPr>
            <w:tcW w:w="1170" w:type="dxa"/>
            <w:vAlign w:val="center"/>
          </w:tcPr>
          <w:p w14:paraId="27303CF7" w14:textId="523AF797" w:rsidR="0093587E" w:rsidRPr="008B6878" w:rsidRDefault="00DD2FC5" w:rsidP="00DD2FC5">
            <w:pPr>
              <w:jc w:val="center"/>
              <w:rPr>
                <w:rFonts w:cs="Arial"/>
                <w:color w:val="000000"/>
              </w:rPr>
            </w:pPr>
            <w:r>
              <w:rPr>
                <w:rFonts w:cs="Arial"/>
                <w:color w:val="000000"/>
              </w:rPr>
              <w:t>No</w:t>
            </w:r>
          </w:p>
        </w:tc>
        <w:tc>
          <w:tcPr>
            <w:tcW w:w="1260" w:type="dxa"/>
            <w:vAlign w:val="center"/>
          </w:tcPr>
          <w:p w14:paraId="0EFD54B4" w14:textId="5B1A9E1A" w:rsidR="0093587E" w:rsidRPr="008B6878" w:rsidRDefault="0093587E" w:rsidP="002646F0">
            <w:pPr>
              <w:jc w:val="center"/>
              <w:rPr>
                <w:rFonts w:cs="Arial"/>
                <w:color w:val="000000"/>
              </w:rPr>
            </w:pPr>
            <w:r w:rsidRPr="008B6878">
              <w:rPr>
                <w:rFonts w:cs="Arial"/>
                <w:color w:val="000000"/>
              </w:rPr>
              <w:t>No</w:t>
            </w:r>
          </w:p>
        </w:tc>
        <w:tc>
          <w:tcPr>
            <w:tcW w:w="1080" w:type="dxa"/>
            <w:shd w:val="clear" w:color="auto" w:fill="D9D9D9" w:themeFill="background1" w:themeFillShade="D9"/>
          </w:tcPr>
          <w:p w14:paraId="27A73643" w14:textId="77777777" w:rsidR="0093587E" w:rsidRPr="008B6878" w:rsidRDefault="0093587E" w:rsidP="002646F0">
            <w:pPr>
              <w:rPr>
                <w:rFonts w:cs="Arial"/>
                <w:color w:val="000000"/>
              </w:rPr>
            </w:pPr>
          </w:p>
        </w:tc>
      </w:tr>
    </w:tbl>
    <w:p w14:paraId="7AF9C259" w14:textId="603B65E5" w:rsidR="005465C5" w:rsidRPr="00B840E2" w:rsidRDefault="005465C5" w:rsidP="00B840E2">
      <w:pPr>
        <w:pStyle w:val="BodyText"/>
        <w:widowControl w:val="0"/>
        <w:spacing w:before="60" w:after="60"/>
        <w:ind w:left="187" w:hanging="187"/>
        <w:jc w:val="both"/>
        <w:rPr>
          <w:sz w:val="18"/>
          <w:szCs w:val="18"/>
        </w:rPr>
      </w:pPr>
      <w:r w:rsidRPr="00B840E2">
        <w:rPr>
          <w:b/>
          <w:color w:val="000000"/>
          <w:sz w:val="18"/>
          <w:szCs w:val="18"/>
          <w:vertAlign w:val="superscript"/>
        </w:rPr>
        <w:t>a</w:t>
      </w:r>
      <w:r w:rsidRPr="00B840E2">
        <w:rPr>
          <w:sz w:val="18"/>
          <w:szCs w:val="18"/>
        </w:rPr>
        <w:t xml:space="preserve"> </w:t>
      </w:r>
      <w:r w:rsidR="00F94A64" w:rsidRPr="00B840E2">
        <w:rPr>
          <w:sz w:val="18"/>
          <w:szCs w:val="18"/>
        </w:rPr>
        <w:tab/>
      </w:r>
      <w:r w:rsidRPr="00B840E2">
        <w:rPr>
          <w:sz w:val="18"/>
          <w:szCs w:val="18"/>
        </w:rPr>
        <w:t>Potential emissions for each pollutant are based on maximum fuel usage for EU006</w:t>
      </w:r>
      <w:r w:rsidRPr="00B840E2">
        <w:rPr>
          <w:rFonts w:ascii="Cambria Math" w:hAnsi="Cambria Math" w:cs="Cambria Math"/>
          <w:sz w:val="18"/>
          <w:szCs w:val="18"/>
        </w:rPr>
        <w:t>‐</w:t>
      </w:r>
      <w:r w:rsidRPr="00B840E2">
        <w:rPr>
          <w:sz w:val="18"/>
          <w:szCs w:val="18"/>
        </w:rPr>
        <w:t>EU008 and EU017 to demonstrate compliance with the PSD SO</w:t>
      </w:r>
      <w:r w:rsidRPr="00735D70">
        <w:rPr>
          <w:sz w:val="18"/>
          <w:szCs w:val="18"/>
          <w:vertAlign w:val="subscript"/>
        </w:rPr>
        <w:t>2</w:t>
      </w:r>
      <w:r w:rsidRPr="00B840E2">
        <w:rPr>
          <w:sz w:val="18"/>
          <w:szCs w:val="18"/>
        </w:rPr>
        <w:t xml:space="preserve"> synthetic minor emissions limit.</w:t>
      </w:r>
    </w:p>
    <w:p w14:paraId="289876FE" w14:textId="06DB4536" w:rsidR="00CD0AF9" w:rsidRPr="00B840E2" w:rsidRDefault="00CD0AF9" w:rsidP="0086602C">
      <w:pPr>
        <w:autoSpaceDE w:val="0"/>
        <w:autoSpaceDN w:val="0"/>
        <w:adjustRightInd w:val="0"/>
        <w:spacing w:after="60"/>
        <w:ind w:left="187" w:hanging="187"/>
        <w:rPr>
          <w:strike/>
          <w:sz w:val="18"/>
          <w:szCs w:val="18"/>
        </w:rPr>
      </w:pPr>
      <w:r w:rsidRPr="00B840E2">
        <w:rPr>
          <w:b/>
          <w:sz w:val="18"/>
          <w:szCs w:val="18"/>
          <w:vertAlign w:val="superscript"/>
        </w:rPr>
        <w:t>b</w:t>
      </w:r>
      <w:r w:rsidRPr="00B840E2">
        <w:rPr>
          <w:sz w:val="18"/>
          <w:szCs w:val="18"/>
        </w:rPr>
        <w:t xml:space="preserve"> </w:t>
      </w:r>
      <w:r w:rsidRPr="00B840E2">
        <w:rPr>
          <w:sz w:val="18"/>
          <w:szCs w:val="18"/>
        </w:rPr>
        <w:tab/>
        <w:t>The VOC potential emissions from the SPN fines solvent extraction process were estimated by the facility for the facility to demonstrate compliance with the facility</w:t>
      </w:r>
      <w:r w:rsidRPr="00B840E2">
        <w:rPr>
          <w:rFonts w:ascii="Cambria Math" w:hAnsi="Cambria Math" w:cs="Cambria Math"/>
          <w:sz w:val="18"/>
          <w:szCs w:val="18"/>
        </w:rPr>
        <w:t>‐</w:t>
      </w:r>
      <w:r w:rsidRPr="00B840E2">
        <w:rPr>
          <w:sz w:val="18"/>
          <w:szCs w:val="18"/>
        </w:rPr>
        <w:t>wide PSD VOC synthetic minor emissions limit (249 tons/rolling 12</w:t>
      </w:r>
      <w:r w:rsidRPr="00B840E2">
        <w:rPr>
          <w:rFonts w:ascii="Cambria Math" w:hAnsi="Cambria Math" w:cs="Cambria Math"/>
          <w:sz w:val="18"/>
          <w:szCs w:val="18"/>
        </w:rPr>
        <w:t>‐</w:t>
      </w:r>
      <w:r w:rsidRPr="00B840E2">
        <w:rPr>
          <w:sz w:val="18"/>
          <w:szCs w:val="18"/>
        </w:rPr>
        <w:t xml:space="preserve">month period). </w:t>
      </w:r>
      <w:r w:rsidR="00EE0F1E" w:rsidRPr="00B840E2">
        <w:rPr>
          <w:sz w:val="18"/>
          <w:szCs w:val="18"/>
        </w:rPr>
        <w:t>It is noted</w:t>
      </w:r>
      <w:r w:rsidRPr="00B840E2">
        <w:rPr>
          <w:sz w:val="18"/>
          <w:szCs w:val="18"/>
        </w:rPr>
        <w:t xml:space="preserve">, as further discussed within this document, that with an average solvent loss of 5.89 gallons/ton of SPN Fines feed, an average solvent density of 5.52 lbs/gallon, a 60 tons per day SPN fines feed rate, and 365 days per year operation, VOC emissions from the SPN fines solvent extraction process </w:t>
      </w:r>
      <w:r w:rsidR="005F6593" w:rsidRPr="00B840E2">
        <w:rPr>
          <w:sz w:val="18"/>
          <w:szCs w:val="18"/>
        </w:rPr>
        <w:t>will be</w:t>
      </w:r>
      <w:r w:rsidRPr="00B840E2">
        <w:rPr>
          <w:sz w:val="18"/>
          <w:szCs w:val="18"/>
        </w:rPr>
        <w:t xml:space="preserve"> 356.0 tons per year.  In order to achieve the stated 233.25 tons per year potential emissions for the SPN Fines solvent extraction process, it appears that the facility must either reduce the average solvent loss to less than 5.89 gallons/ton of SPN Fines feed, and/or operate at a SPN fines feed rate less than 60 tons per day, and/or operate less than 365 days per year. </w:t>
      </w:r>
    </w:p>
    <w:p w14:paraId="40CC78EA" w14:textId="2024D7CD" w:rsidR="005465C5" w:rsidRPr="00B840E2" w:rsidRDefault="00CB7E4C" w:rsidP="0086602C">
      <w:pPr>
        <w:autoSpaceDE w:val="0"/>
        <w:autoSpaceDN w:val="0"/>
        <w:adjustRightInd w:val="0"/>
        <w:spacing w:after="60"/>
        <w:ind w:left="187" w:hanging="187"/>
        <w:rPr>
          <w:sz w:val="18"/>
          <w:szCs w:val="18"/>
        </w:rPr>
      </w:pPr>
      <w:r w:rsidRPr="00B840E2">
        <w:rPr>
          <w:b/>
          <w:color w:val="000000"/>
          <w:sz w:val="18"/>
          <w:szCs w:val="18"/>
          <w:vertAlign w:val="superscript"/>
        </w:rPr>
        <w:t>c</w:t>
      </w:r>
      <w:r w:rsidR="005465C5" w:rsidRPr="00B840E2">
        <w:rPr>
          <w:sz w:val="18"/>
          <w:szCs w:val="18"/>
        </w:rPr>
        <w:t xml:space="preserve"> </w:t>
      </w:r>
      <w:r w:rsidR="00F94A64" w:rsidRPr="00B840E2">
        <w:rPr>
          <w:sz w:val="18"/>
          <w:szCs w:val="18"/>
        </w:rPr>
        <w:tab/>
      </w:r>
      <w:r w:rsidR="005465C5" w:rsidRPr="00B840E2">
        <w:rPr>
          <w:sz w:val="18"/>
          <w:szCs w:val="18"/>
        </w:rPr>
        <w:t>The maximum individual HAP potential emissions (n</w:t>
      </w:r>
      <w:r w:rsidR="005465C5" w:rsidRPr="00B840E2">
        <w:rPr>
          <w:rFonts w:ascii="Cambria Math" w:hAnsi="Cambria Math" w:cs="Cambria Math"/>
          <w:sz w:val="18"/>
          <w:szCs w:val="18"/>
        </w:rPr>
        <w:t>‐</w:t>
      </w:r>
      <w:r w:rsidR="005465C5" w:rsidRPr="00B840E2">
        <w:rPr>
          <w:sz w:val="18"/>
          <w:szCs w:val="18"/>
        </w:rPr>
        <w:t xml:space="preserve">hexane) from the SPN fines solvent extraction process </w:t>
      </w:r>
      <w:r w:rsidR="00556762" w:rsidRPr="00B840E2">
        <w:rPr>
          <w:sz w:val="18"/>
          <w:szCs w:val="18"/>
        </w:rPr>
        <w:t>is</w:t>
      </w:r>
      <w:r w:rsidR="005465C5" w:rsidRPr="00B840E2">
        <w:rPr>
          <w:sz w:val="18"/>
          <w:szCs w:val="18"/>
        </w:rPr>
        <w:t xml:space="preserve"> estimated by the facility</w:t>
      </w:r>
      <w:r w:rsidR="00556762" w:rsidRPr="00B840E2">
        <w:rPr>
          <w:sz w:val="18"/>
          <w:szCs w:val="18"/>
        </w:rPr>
        <w:t xml:space="preserve"> </w:t>
      </w:r>
      <w:r w:rsidR="009F7B72" w:rsidRPr="00B840E2">
        <w:rPr>
          <w:sz w:val="18"/>
          <w:szCs w:val="18"/>
        </w:rPr>
        <w:t>as</w:t>
      </w:r>
      <w:r w:rsidR="00F15C1C" w:rsidRPr="00B840E2">
        <w:rPr>
          <w:sz w:val="18"/>
          <w:szCs w:val="18"/>
        </w:rPr>
        <w:t xml:space="preserve"> 8.90 tons per year </w:t>
      </w:r>
      <w:r w:rsidR="00556762" w:rsidRPr="00B840E2">
        <w:rPr>
          <w:sz w:val="18"/>
          <w:szCs w:val="18"/>
        </w:rPr>
        <w:t>using lower HAP solvent with a presumed 2.5% n-hexane content, 60 tons per day SPN fines feed rate,</w:t>
      </w:r>
      <w:r w:rsidRPr="00B840E2">
        <w:rPr>
          <w:sz w:val="18"/>
          <w:szCs w:val="18"/>
        </w:rPr>
        <w:t xml:space="preserve"> 365 days per year of operation,</w:t>
      </w:r>
      <w:r w:rsidR="00556762" w:rsidRPr="00B840E2">
        <w:rPr>
          <w:sz w:val="18"/>
          <w:szCs w:val="18"/>
        </w:rPr>
        <w:t xml:space="preserve"> average solvent loss of 5.89 gallons/ton of SPN Fines feed, average solvent density of 5.52 lbs/gallon.</w:t>
      </w:r>
      <w:r w:rsidR="005465C5" w:rsidRPr="00B840E2">
        <w:rPr>
          <w:sz w:val="18"/>
          <w:szCs w:val="18"/>
        </w:rPr>
        <w:t xml:space="preserve"> </w:t>
      </w:r>
      <w:r w:rsidR="00C11356" w:rsidRPr="00B840E2">
        <w:rPr>
          <w:sz w:val="18"/>
          <w:szCs w:val="18"/>
        </w:rPr>
        <w:t>The facility states this a conservative estimate due to actual HAP n-hexane content of lower HAP solvent being purchased is an average of 0.25% n-hexane content.</w:t>
      </w:r>
    </w:p>
    <w:p w14:paraId="2A2F12CC" w14:textId="15010B40" w:rsidR="004B779D" w:rsidRPr="00B840E2" w:rsidRDefault="004B779D" w:rsidP="0086602C">
      <w:pPr>
        <w:autoSpaceDE w:val="0"/>
        <w:autoSpaceDN w:val="0"/>
        <w:adjustRightInd w:val="0"/>
        <w:spacing w:after="60"/>
        <w:ind w:left="187" w:hanging="187"/>
        <w:rPr>
          <w:sz w:val="18"/>
          <w:szCs w:val="18"/>
        </w:rPr>
      </w:pPr>
      <w:r w:rsidRPr="00B840E2">
        <w:rPr>
          <w:b/>
          <w:color w:val="000000"/>
          <w:sz w:val="18"/>
          <w:szCs w:val="18"/>
          <w:vertAlign w:val="superscript"/>
        </w:rPr>
        <w:t>d</w:t>
      </w:r>
      <w:r w:rsidRPr="00B840E2">
        <w:rPr>
          <w:sz w:val="18"/>
          <w:szCs w:val="18"/>
        </w:rPr>
        <w:t xml:space="preserve"> </w:t>
      </w:r>
      <w:r w:rsidRPr="00B840E2">
        <w:rPr>
          <w:sz w:val="18"/>
          <w:szCs w:val="18"/>
        </w:rPr>
        <w:tab/>
        <w:t xml:space="preserve">With the maximum feeding rate of 14, 340 tons/rolling 12-month period operational restriction, </w:t>
      </w:r>
      <w:r w:rsidR="00B840E2" w:rsidRPr="00B840E2">
        <w:rPr>
          <w:sz w:val="18"/>
          <w:szCs w:val="18"/>
        </w:rPr>
        <w:t xml:space="preserve">lower HAP solvent with a presumed 2.5% n-hexane content, average solvent loss of 5.89 gallons/ton of SPN Fines feed, average solvent density of 5.52 lbs/gallon </w:t>
      </w:r>
      <w:r w:rsidRPr="00B840E2">
        <w:rPr>
          <w:sz w:val="18"/>
          <w:szCs w:val="18"/>
        </w:rPr>
        <w:t xml:space="preserve">potential HAP (n-hexane) emission from this process is </w:t>
      </w:r>
      <w:r w:rsidR="001F1ABC" w:rsidRPr="00B840E2">
        <w:rPr>
          <w:sz w:val="18"/>
          <w:szCs w:val="18"/>
        </w:rPr>
        <w:t xml:space="preserve">estimated to be </w:t>
      </w:r>
      <w:r w:rsidRPr="00B840E2">
        <w:rPr>
          <w:sz w:val="18"/>
          <w:szCs w:val="18"/>
        </w:rPr>
        <w:t>5.82 tons per year.</w:t>
      </w:r>
    </w:p>
    <w:p w14:paraId="5D51DAE5" w14:textId="2FFDC7D5" w:rsidR="008B0A91" w:rsidRPr="00B840E2" w:rsidRDefault="008B0A91" w:rsidP="0086602C">
      <w:pPr>
        <w:autoSpaceDE w:val="0"/>
        <w:autoSpaceDN w:val="0"/>
        <w:adjustRightInd w:val="0"/>
        <w:spacing w:after="60"/>
        <w:ind w:left="187" w:hanging="187"/>
        <w:rPr>
          <w:sz w:val="18"/>
          <w:szCs w:val="18"/>
        </w:rPr>
      </w:pPr>
      <w:r w:rsidRPr="00B840E2">
        <w:rPr>
          <w:b/>
          <w:color w:val="000000"/>
          <w:sz w:val="18"/>
          <w:szCs w:val="18"/>
          <w:vertAlign w:val="superscript"/>
        </w:rPr>
        <w:t>e</w:t>
      </w:r>
      <w:r w:rsidRPr="00B840E2">
        <w:rPr>
          <w:sz w:val="18"/>
          <w:szCs w:val="18"/>
        </w:rPr>
        <w:t xml:space="preserve"> </w:t>
      </w:r>
      <w:r w:rsidRPr="00B840E2">
        <w:rPr>
          <w:sz w:val="18"/>
          <w:szCs w:val="18"/>
        </w:rPr>
        <w:tab/>
        <w:t>Synthetic limit requested by the applicant.</w:t>
      </w:r>
    </w:p>
    <w:p w14:paraId="1267CA3A" w14:textId="5C0A0A7D" w:rsidR="008B0A91" w:rsidRPr="00B840E2" w:rsidRDefault="0086602C" w:rsidP="0086602C">
      <w:pPr>
        <w:autoSpaceDE w:val="0"/>
        <w:autoSpaceDN w:val="0"/>
        <w:adjustRightInd w:val="0"/>
        <w:spacing w:after="60"/>
        <w:ind w:left="187" w:hanging="187"/>
        <w:rPr>
          <w:sz w:val="18"/>
          <w:szCs w:val="18"/>
        </w:rPr>
      </w:pPr>
      <w:r w:rsidRPr="00B840E2">
        <w:rPr>
          <w:b/>
          <w:color w:val="000000"/>
          <w:sz w:val="18"/>
          <w:szCs w:val="18"/>
          <w:vertAlign w:val="superscript"/>
        </w:rPr>
        <w:t>f</w:t>
      </w:r>
      <w:r w:rsidRPr="00B840E2">
        <w:rPr>
          <w:sz w:val="18"/>
          <w:szCs w:val="18"/>
        </w:rPr>
        <w:t xml:space="preserve"> </w:t>
      </w:r>
      <w:r w:rsidRPr="00B840E2">
        <w:rPr>
          <w:sz w:val="18"/>
          <w:szCs w:val="18"/>
        </w:rPr>
        <w:tab/>
        <w:t xml:space="preserve">Applicant has requested an individual HAP synthetic limit of </w:t>
      </w:r>
      <w:r w:rsidRPr="00B840E2">
        <w:rPr>
          <w:color w:val="000000"/>
          <w:sz w:val="18"/>
          <w:szCs w:val="18"/>
        </w:rPr>
        <w:t>9.9 tons/rolling 12</w:t>
      </w:r>
      <w:r w:rsidRPr="00B840E2">
        <w:rPr>
          <w:rFonts w:ascii="Cambria Math" w:hAnsi="Cambria Math" w:cs="Cambria Math"/>
          <w:color w:val="000000"/>
          <w:sz w:val="18"/>
          <w:szCs w:val="18"/>
        </w:rPr>
        <w:t>‐</w:t>
      </w:r>
      <w:r w:rsidRPr="00B840E2">
        <w:rPr>
          <w:color w:val="000000"/>
          <w:sz w:val="18"/>
          <w:szCs w:val="18"/>
        </w:rPr>
        <w:t>month period and 24.9 tons/rolling 12</w:t>
      </w:r>
      <w:r w:rsidRPr="00B840E2">
        <w:rPr>
          <w:rFonts w:ascii="Cambria Math" w:hAnsi="Cambria Math" w:cs="Cambria Math"/>
          <w:color w:val="000000"/>
          <w:sz w:val="18"/>
          <w:szCs w:val="18"/>
        </w:rPr>
        <w:t>‐</w:t>
      </w:r>
      <w:r w:rsidRPr="00B840E2">
        <w:rPr>
          <w:color w:val="000000"/>
          <w:sz w:val="18"/>
          <w:szCs w:val="18"/>
        </w:rPr>
        <w:t>month period of total HAP emissions</w:t>
      </w:r>
      <w:r w:rsidRPr="00B840E2">
        <w:rPr>
          <w:sz w:val="18"/>
          <w:szCs w:val="18"/>
        </w:rPr>
        <w:t>.</w:t>
      </w:r>
      <w:r w:rsidR="008B0A91" w:rsidRPr="00B840E2">
        <w:rPr>
          <w:sz w:val="18"/>
          <w:szCs w:val="18"/>
        </w:rPr>
        <w:br w:type="page"/>
      </w:r>
    </w:p>
    <w:p w14:paraId="5AECD4C9" w14:textId="77777777" w:rsidR="005465C5" w:rsidRDefault="005465C5" w:rsidP="005465C5">
      <w:pPr>
        <w:autoSpaceDE w:val="0"/>
        <w:autoSpaceDN w:val="0"/>
        <w:adjustRightInd w:val="0"/>
        <w:rPr>
          <w:sz w:val="22"/>
          <w:szCs w:val="22"/>
        </w:rPr>
      </w:pPr>
    </w:p>
    <w:p w14:paraId="78423987" w14:textId="6DD19B92" w:rsidR="00CC24BA" w:rsidRDefault="000C6601" w:rsidP="000C6601">
      <w:pPr>
        <w:pStyle w:val="BodyText"/>
        <w:widowControl w:val="0"/>
        <w:jc w:val="both"/>
        <w:rPr>
          <w:sz w:val="22"/>
          <w:szCs w:val="22"/>
        </w:rPr>
      </w:pPr>
      <w:r w:rsidRPr="00D80780">
        <w:rPr>
          <w:sz w:val="22"/>
          <w:szCs w:val="22"/>
        </w:rPr>
        <w:t xml:space="preserve">The project is located in </w:t>
      </w:r>
      <w:r w:rsidR="00D80780" w:rsidRPr="00D80780">
        <w:rPr>
          <w:sz w:val="22"/>
          <w:szCs w:val="22"/>
        </w:rPr>
        <w:t>Bradford</w:t>
      </w:r>
      <w:r w:rsidRPr="00D80780">
        <w:rPr>
          <w:sz w:val="22"/>
          <w:szCs w:val="22"/>
        </w:rPr>
        <w:t xml:space="preserve"> County which is in an area that is currently in attainment with the AAQS or is otherwise designated as unclassifiable.  The proposed project will not increase emissions for any PSD pollutant; therefore, the project is not subject to a PSD preconstruction review.</w:t>
      </w:r>
    </w:p>
    <w:p w14:paraId="4A85105D" w14:textId="77777777" w:rsidR="000C6601" w:rsidRPr="000262BC" w:rsidRDefault="000C6601" w:rsidP="000C6601">
      <w:pPr>
        <w:pStyle w:val="BodyText"/>
        <w:widowControl w:val="0"/>
        <w:jc w:val="both"/>
        <w:rPr>
          <w:sz w:val="22"/>
        </w:rPr>
      </w:pPr>
    </w:p>
    <w:p w14:paraId="4D9389EF" w14:textId="592E501F" w:rsidR="00E83F18" w:rsidRPr="00D41481" w:rsidRDefault="00E83F18" w:rsidP="00E83F18">
      <w:pPr>
        <w:pStyle w:val="BodyText"/>
        <w:ind w:left="360" w:hanging="360"/>
        <w:jc w:val="both"/>
        <w:rPr>
          <w:b/>
          <w:sz w:val="22"/>
          <w:szCs w:val="22"/>
        </w:rPr>
      </w:pPr>
      <w:r w:rsidRPr="00FD4770">
        <w:rPr>
          <w:b/>
          <w:sz w:val="22"/>
          <w:szCs w:val="22"/>
        </w:rPr>
        <w:t>3.3</w:t>
      </w:r>
      <w:r w:rsidRPr="00FD4770">
        <w:rPr>
          <w:b/>
          <w:sz w:val="22"/>
          <w:szCs w:val="22"/>
        </w:rPr>
        <w:tab/>
        <w:t>HAP Synthetic Minor Source Classification</w:t>
      </w:r>
    </w:p>
    <w:p w14:paraId="5DA95591" w14:textId="591B8878" w:rsidR="003F476B" w:rsidRPr="001E35CE" w:rsidRDefault="00E83F18" w:rsidP="003F476B">
      <w:pPr>
        <w:autoSpaceDE w:val="0"/>
        <w:autoSpaceDN w:val="0"/>
        <w:adjustRightInd w:val="0"/>
        <w:spacing w:after="120"/>
        <w:rPr>
          <w:sz w:val="22"/>
          <w:szCs w:val="22"/>
        </w:rPr>
      </w:pPr>
      <w:r w:rsidRPr="001E35CE">
        <w:rPr>
          <w:sz w:val="22"/>
          <w:szCs w:val="22"/>
        </w:rPr>
        <w:t xml:space="preserve">The Hampton facility is currently classified as a major source of HAP emissions due to the potential emissions of n-hexane exceeding 10 tons per year and total HAP emissions exceeding 25 tons per year.  Individual HAP emissions were estimated for the facility due to the SPN Fines Solvent Extraction Process (EU 016) in the original construction permit, No. 0070004-015-AC, to be </w:t>
      </w:r>
      <w:r w:rsidRPr="001E35CE">
        <w:rPr>
          <w:b/>
          <w:sz w:val="22"/>
          <w:szCs w:val="22"/>
        </w:rPr>
        <w:t>95.79</w:t>
      </w:r>
      <w:r w:rsidRPr="001E35CE">
        <w:rPr>
          <w:sz w:val="22"/>
          <w:szCs w:val="22"/>
        </w:rPr>
        <w:t xml:space="preserve"> tons per year.</w:t>
      </w:r>
      <w:r w:rsidR="003F476B" w:rsidRPr="001E35CE">
        <w:rPr>
          <w:sz w:val="22"/>
          <w:szCs w:val="22"/>
        </w:rPr>
        <w:t xml:space="preserve"> The potential HAP emissions estimate from the solvent usage was derived using an assumption that the solvent contained 64% n</w:t>
      </w:r>
      <w:r w:rsidR="003F476B" w:rsidRPr="001E35CE">
        <w:rPr>
          <w:rFonts w:ascii="Cambria Math" w:hAnsi="Cambria Math" w:cs="Cambria Math"/>
          <w:sz w:val="22"/>
          <w:szCs w:val="22"/>
        </w:rPr>
        <w:t>‐</w:t>
      </w:r>
      <w:r w:rsidR="003F476B" w:rsidRPr="001E35CE">
        <w:rPr>
          <w:sz w:val="22"/>
          <w:szCs w:val="22"/>
        </w:rPr>
        <w:t>hexane (HAP) and 36% hexane isomers (iso</w:t>
      </w:r>
      <w:r w:rsidR="003F476B" w:rsidRPr="001E35CE">
        <w:rPr>
          <w:rFonts w:ascii="Cambria Math" w:hAnsi="Cambria Math" w:cs="Cambria Math"/>
          <w:sz w:val="22"/>
          <w:szCs w:val="22"/>
        </w:rPr>
        <w:t>‐</w:t>
      </w:r>
      <w:r w:rsidR="003F476B" w:rsidRPr="001E35CE">
        <w:rPr>
          <w:sz w:val="22"/>
          <w:szCs w:val="22"/>
        </w:rPr>
        <w:t>hexane, non</w:t>
      </w:r>
      <w:r w:rsidR="003F476B" w:rsidRPr="001E35CE">
        <w:rPr>
          <w:rFonts w:ascii="Cambria Math" w:hAnsi="Cambria Math" w:cs="Cambria Math"/>
          <w:sz w:val="22"/>
          <w:szCs w:val="22"/>
        </w:rPr>
        <w:t>‐</w:t>
      </w:r>
      <w:r w:rsidR="003F476B" w:rsidRPr="001E35CE">
        <w:rPr>
          <w:sz w:val="22"/>
          <w:szCs w:val="22"/>
        </w:rPr>
        <w:t>HAP).</w:t>
      </w:r>
    </w:p>
    <w:p w14:paraId="3A2EFBBA" w14:textId="20B6655B" w:rsidR="00E83F18" w:rsidRPr="001E35CE" w:rsidRDefault="00E83F18" w:rsidP="001E35CE">
      <w:pPr>
        <w:autoSpaceDE w:val="0"/>
        <w:autoSpaceDN w:val="0"/>
        <w:adjustRightInd w:val="0"/>
        <w:spacing w:after="120"/>
        <w:rPr>
          <w:color w:val="000000"/>
          <w:sz w:val="22"/>
          <w:szCs w:val="22"/>
        </w:rPr>
      </w:pPr>
      <w:r w:rsidRPr="001E35CE">
        <w:rPr>
          <w:color w:val="000000"/>
          <w:sz w:val="22"/>
          <w:szCs w:val="22"/>
        </w:rPr>
        <w:t>Griffin is requesting in this construction permit application, a synthetic minor limit of individual HAP emissions (n</w:t>
      </w:r>
      <w:r w:rsidRPr="001E35CE">
        <w:rPr>
          <w:rFonts w:ascii="Cambria Math" w:hAnsi="Cambria Math" w:cs="Cambria Math"/>
          <w:color w:val="000000"/>
          <w:sz w:val="22"/>
          <w:szCs w:val="22"/>
        </w:rPr>
        <w:t>‐</w:t>
      </w:r>
      <w:r w:rsidRPr="001E35CE">
        <w:rPr>
          <w:color w:val="000000"/>
          <w:sz w:val="22"/>
          <w:szCs w:val="22"/>
        </w:rPr>
        <w:t>hexane) from the Hampton facility to 9.9 tons/rolling 12</w:t>
      </w:r>
      <w:r w:rsidRPr="001E35CE">
        <w:rPr>
          <w:rFonts w:ascii="Cambria Math" w:hAnsi="Cambria Math" w:cs="Cambria Math"/>
          <w:color w:val="000000"/>
          <w:sz w:val="22"/>
          <w:szCs w:val="22"/>
        </w:rPr>
        <w:t>‐</w:t>
      </w:r>
      <w:r w:rsidRPr="001E35CE">
        <w:rPr>
          <w:color w:val="000000"/>
          <w:sz w:val="22"/>
          <w:szCs w:val="22"/>
        </w:rPr>
        <w:t>month period (less than 10 tpy), and to 24.9 tons/rolling 12</w:t>
      </w:r>
      <w:r w:rsidRPr="001E35CE">
        <w:rPr>
          <w:rFonts w:ascii="Cambria Math" w:hAnsi="Cambria Math" w:cs="Cambria Math"/>
          <w:color w:val="000000"/>
          <w:sz w:val="22"/>
          <w:szCs w:val="22"/>
        </w:rPr>
        <w:t>‐</w:t>
      </w:r>
      <w:r w:rsidRPr="001E35CE">
        <w:rPr>
          <w:color w:val="000000"/>
          <w:sz w:val="22"/>
          <w:szCs w:val="22"/>
        </w:rPr>
        <w:t>month period (less than 25 tpy) of total HAP emissions.</w:t>
      </w:r>
    </w:p>
    <w:p w14:paraId="4A49DDC8" w14:textId="293EC615" w:rsidR="00E83F18" w:rsidRPr="001E35CE" w:rsidRDefault="00E83F18" w:rsidP="00E83F18">
      <w:pPr>
        <w:autoSpaceDE w:val="0"/>
        <w:autoSpaceDN w:val="0"/>
        <w:adjustRightInd w:val="0"/>
        <w:rPr>
          <w:color w:val="000000"/>
          <w:sz w:val="22"/>
          <w:szCs w:val="22"/>
        </w:rPr>
      </w:pPr>
      <w:r w:rsidRPr="001E35CE">
        <w:rPr>
          <w:sz w:val="22"/>
          <w:szCs w:val="22"/>
        </w:rPr>
        <w:t>To demonstrate compliance with the requested HAP emissions, Griffin proposes to use a combination of normal HAP solvent and lower HAP solvents as needed and record the monthly and rolling 12</w:t>
      </w:r>
      <w:r w:rsidRPr="001E35CE">
        <w:rPr>
          <w:rFonts w:ascii="Cambria Math" w:hAnsi="Cambria Math" w:cs="Cambria Math"/>
          <w:sz w:val="22"/>
          <w:szCs w:val="22"/>
        </w:rPr>
        <w:t>‐</w:t>
      </w:r>
      <w:r w:rsidRPr="001E35CE">
        <w:rPr>
          <w:sz w:val="22"/>
          <w:szCs w:val="22"/>
        </w:rPr>
        <w:t>month solvent usage and n</w:t>
      </w:r>
      <w:r w:rsidRPr="001E35CE">
        <w:rPr>
          <w:rFonts w:ascii="Cambria Math" w:hAnsi="Cambria Math" w:cs="Cambria Math"/>
          <w:sz w:val="22"/>
          <w:szCs w:val="22"/>
        </w:rPr>
        <w:t>‐</w:t>
      </w:r>
      <w:r w:rsidRPr="001E35CE">
        <w:rPr>
          <w:sz w:val="22"/>
          <w:szCs w:val="22"/>
        </w:rPr>
        <w:t>hexane component of the solvent usage and other associated facility</w:t>
      </w:r>
      <w:r w:rsidRPr="001E35CE">
        <w:rPr>
          <w:rFonts w:ascii="Cambria Math" w:hAnsi="Cambria Math" w:cs="Cambria Math"/>
          <w:sz w:val="22"/>
          <w:szCs w:val="22"/>
        </w:rPr>
        <w:t>‐</w:t>
      </w:r>
      <w:r w:rsidRPr="001E35CE">
        <w:rPr>
          <w:sz w:val="22"/>
          <w:szCs w:val="22"/>
        </w:rPr>
        <w:t>wide n</w:t>
      </w:r>
      <w:r w:rsidRPr="001E35CE">
        <w:rPr>
          <w:rFonts w:ascii="Cambria Math" w:hAnsi="Cambria Math" w:cs="Cambria Math"/>
          <w:sz w:val="22"/>
          <w:szCs w:val="22"/>
        </w:rPr>
        <w:t>‐</w:t>
      </w:r>
      <w:r w:rsidRPr="001E35CE">
        <w:rPr>
          <w:sz w:val="22"/>
          <w:szCs w:val="22"/>
        </w:rPr>
        <w:t>hexane emissions, and complete monthly calculations of the HAP emissions and rolling 12</w:t>
      </w:r>
      <w:r w:rsidRPr="001E35CE">
        <w:rPr>
          <w:rFonts w:ascii="Cambria Math" w:hAnsi="Cambria Math" w:cs="Cambria Math"/>
          <w:sz w:val="22"/>
          <w:szCs w:val="22"/>
        </w:rPr>
        <w:t>‐</w:t>
      </w:r>
      <w:r w:rsidRPr="001E35CE">
        <w:rPr>
          <w:sz w:val="22"/>
          <w:szCs w:val="22"/>
        </w:rPr>
        <w:t>month period ending that month.  The facility states that “lower HAP solvent” that will be received at the Hampton facility (based on advertised and contractual agreement with the solvent supplier) is composed of an average of less than 5% n</w:t>
      </w:r>
      <w:r w:rsidRPr="001E35CE">
        <w:rPr>
          <w:rFonts w:ascii="Cambria Math" w:hAnsi="Cambria Math" w:cs="Cambria Math"/>
          <w:sz w:val="22"/>
          <w:szCs w:val="22"/>
        </w:rPr>
        <w:t>‐</w:t>
      </w:r>
      <w:r w:rsidRPr="001E35CE">
        <w:rPr>
          <w:sz w:val="22"/>
          <w:szCs w:val="22"/>
        </w:rPr>
        <w:t>hexane (HAP) content (with the remaining content comprised of iso</w:t>
      </w:r>
      <w:r w:rsidRPr="001E35CE">
        <w:rPr>
          <w:rFonts w:ascii="Cambria Math" w:hAnsi="Cambria Math" w:cs="Cambria Math"/>
          <w:sz w:val="22"/>
          <w:szCs w:val="22"/>
        </w:rPr>
        <w:t>‐</w:t>
      </w:r>
      <w:r w:rsidRPr="001E35CE">
        <w:rPr>
          <w:sz w:val="22"/>
          <w:szCs w:val="22"/>
        </w:rPr>
        <w:t>hexane or hexane isomers)</w:t>
      </w:r>
      <w:r w:rsidRPr="001E35CE">
        <w:rPr>
          <w:color w:val="000000"/>
          <w:sz w:val="22"/>
          <w:szCs w:val="22"/>
        </w:rPr>
        <w:t>Griffin proposed the following calculation:</w:t>
      </w:r>
    </w:p>
    <w:p w14:paraId="0ECE2384" w14:textId="77777777" w:rsidR="00E83F18" w:rsidRDefault="00E83F18" w:rsidP="00E83F18">
      <w:pPr>
        <w:autoSpaceDE w:val="0"/>
        <w:autoSpaceDN w:val="0"/>
        <w:adjustRightInd w:val="0"/>
        <w:rPr>
          <w:sz w:val="22"/>
          <w:szCs w:val="22"/>
        </w:rPr>
      </w:pPr>
      <w:r>
        <w:rPr>
          <w:noProof/>
        </w:rPr>
        <w:drawing>
          <wp:inline distT="0" distB="0" distL="0" distR="0" wp14:anchorId="206CA492" wp14:editId="44091247">
            <wp:extent cx="3643693" cy="623695"/>
            <wp:effectExtent l="0" t="0" r="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691818" cy="631933"/>
                    </a:xfrm>
                    <a:prstGeom prst="rect">
                      <a:avLst/>
                    </a:prstGeom>
                  </pic:spPr>
                </pic:pic>
              </a:graphicData>
            </a:graphic>
          </wp:inline>
        </w:drawing>
      </w:r>
    </w:p>
    <w:p w14:paraId="15353AF9" w14:textId="77777777" w:rsidR="00E83F18" w:rsidRDefault="00E83F18" w:rsidP="00E83F18">
      <w:pPr>
        <w:autoSpaceDE w:val="0"/>
        <w:autoSpaceDN w:val="0"/>
        <w:adjustRightInd w:val="0"/>
        <w:rPr>
          <w:sz w:val="22"/>
          <w:szCs w:val="22"/>
        </w:rPr>
      </w:pPr>
    </w:p>
    <w:p w14:paraId="362428E4" w14:textId="77777777" w:rsidR="00E83F18" w:rsidRDefault="00E83F18" w:rsidP="00E83F18">
      <w:pPr>
        <w:autoSpaceDE w:val="0"/>
        <w:autoSpaceDN w:val="0"/>
        <w:adjustRightInd w:val="0"/>
        <w:rPr>
          <w:sz w:val="22"/>
          <w:szCs w:val="22"/>
        </w:rPr>
      </w:pPr>
      <w:r>
        <w:rPr>
          <w:noProof/>
        </w:rPr>
        <w:drawing>
          <wp:inline distT="0" distB="0" distL="0" distR="0" wp14:anchorId="2161F4FC" wp14:editId="645F37BB">
            <wp:extent cx="4260153" cy="2322494"/>
            <wp:effectExtent l="0" t="0" r="762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91479" cy="2339572"/>
                    </a:xfrm>
                    <a:prstGeom prst="rect">
                      <a:avLst/>
                    </a:prstGeom>
                  </pic:spPr>
                </pic:pic>
              </a:graphicData>
            </a:graphic>
          </wp:inline>
        </w:drawing>
      </w:r>
    </w:p>
    <w:p w14:paraId="244182C7" w14:textId="77777777" w:rsidR="00E83F18" w:rsidRPr="00EA5ACB" w:rsidRDefault="00E83F18" w:rsidP="00E83F18">
      <w:pPr>
        <w:autoSpaceDE w:val="0"/>
        <w:autoSpaceDN w:val="0"/>
        <w:adjustRightInd w:val="0"/>
        <w:rPr>
          <w:sz w:val="22"/>
          <w:szCs w:val="22"/>
        </w:rPr>
      </w:pPr>
    </w:p>
    <w:p w14:paraId="0042DEDE" w14:textId="77777777" w:rsidR="00E83F18" w:rsidRDefault="00E83F18" w:rsidP="00E83F18">
      <w:pPr>
        <w:autoSpaceDE w:val="0"/>
        <w:autoSpaceDN w:val="0"/>
        <w:adjustRightInd w:val="0"/>
        <w:spacing w:after="120"/>
        <w:rPr>
          <w:sz w:val="22"/>
          <w:szCs w:val="22"/>
        </w:rPr>
      </w:pPr>
      <w:r w:rsidRPr="009C24DE">
        <w:rPr>
          <w:sz w:val="22"/>
          <w:szCs w:val="22"/>
        </w:rPr>
        <w:t>Griffin proposes demonstrating compliance with the requested total HAP emissions limit (24.9 tons/rolling 12</w:t>
      </w:r>
      <w:r w:rsidRPr="009C24DE">
        <w:rPr>
          <w:rFonts w:ascii="Cambria Math" w:hAnsi="Cambria Math" w:cs="Cambria Math"/>
          <w:sz w:val="22"/>
          <w:szCs w:val="22"/>
        </w:rPr>
        <w:t>‐</w:t>
      </w:r>
      <w:r w:rsidRPr="009C24DE">
        <w:rPr>
          <w:sz w:val="22"/>
          <w:szCs w:val="22"/>
        </w:rPr>
        <w:t>month period, per request) by meeting the requested individual HAP synthetic minor emissions limit for the maximum individual HAP emitted from the facility (n</w:t>
      </w:r>
      <w:r w:rsidRPr="009C24DE">
        <w:rPr>
          <w:rFonts w:ascii="Cambria Math" w:hAnsi="Cambria Math" w:cs="Cambria Math"/>
          <w:sz w:val="22"/>
          <w:szCs w:val="22"/>
        </w:rPr>
        <w:t>‐</w:t>
      </w:r>
      <w:r w:rsidRPr="009C24DE">
        <w:rPr>
          <w:sz w:val="22"/>
          <w:szCs w:val="22"/>
        </w:rPr>
        <w:t>hexane) due to stated unlimited potential HAP emissions other than n-hexane (“non n</w:t>
      </w:r>
      <w:r w:rsidRPr="009C24DE">
        <w:rPr>
          <w:rFonts w:ascii="Cambria Math" w:hAnsi="Cambria Math" w:cs="Cambria Math"/>
          <w:sz w:val="22"/>
          <w:szCs w:val="22"/>
        </w:rPr>
        <w:t>‐</w:t>
      </w:r>
      <w:r w:rsidRPr="009C24DE">
        <w:rPr>
          <w:sz w:val="22"/>
          <w:szCs w:val="22"/>
        </w:rPr>
        <w:t xml:space="preserve">hexane HAP emissions”) being insignificant from the emission sources at the Hampton facility. </w:t>
      </w:r>
    </w:p>
    <w:p w14:paraId="4F0D0943" w14:textId="38093521" w:rsidR="00250DA2" w:rsidRDefault="002D0C88" w:rsidP="00250DA2">
      <w:pPr>
        <w:spacing w:before="240" w:after="120"/>
        <w:rPr>
          <w:sz w:val="22"/>
          <w:szCs w:val="22"/>
        </w:rPr>
      </w:pPr>
      <w:r w:rsidRPr="008B3CB9">
        <w:rPr>
          <w:sz w:val="22"/>
          <w:szCs w:val="22"/>
        </w:rPr>
        <w:lastRenderedPageBreak/>
        <w:t xml:space="preserve">In </w:t>
      </w:r>
      <w:r>
        <w:rPr>
          <w:sz w:val="22"/>
          <w:szCs w:val="22"/>
        </w:rPr>
        <w:t xml:space="preserve">the </w:t>
      </w:r>
      <w:r w:rsidRPr="008B3CB9">
        <w:rPr>
          <w:sz w:val="22"/>
          <w:szCs w:val="22"/>
        </w:rPr>
        <w:t xml:space="preserve">RAI response </w:t>
      </w:r>
      <w:r>
        <w:rPr>
          <w:sz w:val="22"/>
          <w:szCs w:val="22"/>
        </w:rPr>
        <w:t xml:space="preserve">dated </w:t>
      </w:r>
      <w:r w:rsidRPr="008B3CB9">
        <w:rPr>
          <w:sz w:val="22"/>
          <w:szCs w:val="22"/>
        </w:rPr>
        <w:t xml:space="preserve">September 14, 2015, Griffin provided the potential </w:t>
      </w:r>
      <w:r>
        <w:rPr>
          <w:sz w:val="22"/>
          <w:szCs w:val="22"/>
        </w:rPr>
        <w:t>HAP (n-hexane)</w:t>
      </w:r>
      <w:r w:rsidRPr="008B3CB9">
        <w:rPr>
          <w:sz w:val="22"/>
          <w:szCs w:val="22"/>
        </w:rPr>
        <w:t xml:space="preserve"> emissions</w:t>
      </w:r>
      <w:r w:rsidR="00250DA2">
        <w:rPr>
          <w:sz w:val="22"/>
          <w:szCs w:val="22"/>
        </w:rPr>
        <w:t>.  Griffin states that the use of a presumed 2.5% n-hexane content is a conservative estimate due to actual HAP n-hexane content of lower HAP solvent being purchased by Griffin is averaging 0.25% n-hexane content, and t</w:t>
      </w:r>
      <w:r w:rsidR="00250DA2" w:rsidRPr="00250DA2">
        <w:rPr>
          <w:sz w:val="22"/>
          <w:szCs w:val="22"/>
        </w:rPr>
        <w:t>he permitted SPN fines processing limitation of 100 tons/day is not able to be obtained by current raw</w:t>
      </w:r>
      <w:r w:rsidR="00250DA2">
        <w:rPr>
          <w:sz w:val="22"/>
          <w:szCs w:val="22"/>
        </w:rPr>
        <w:t xml:space="preserve"> </w:t>
      </w:r>
      <w:r w:rsidR="00250DA2" w:rsidRPr="00250DA2">
        <w:rPr>
          <w:sz w:val="22"/>
          <w:szCs w:val="22"/>
        </w:rPr>
        <w:t>material supply limitations</w:t>
      </w:r>
      <w:r w:rsidR="00250DA2">
        <w:rPr>
          <w:sz w:val="22"/>
          <w:szCs w:val="22"/>
        </w:rPr>
        <w:t xml:space="preserve">. </w:t>
      </w:r>
    </w:p>
    <w:p w14:paraId="59BDDD65" w14:textId="77777777" w:rsidR="00185E2E" w:rsidRDefault="00185E2E" w:rsidP="00250DA2">
      <w:pPr>
        <w:autoSpaceDE w:val="0"/>
        <w:autoSpaceDN w:val="0"/>
        <w:adjustRightInd w:val="0"/>
        <w:rPr>
          <w:b/>
          <w:sz w:val="22"/>
          <w:szCs w:val="22"/>
        </w:rPr>
      </w:pPr>
    </w:p>
    <w:p w14:paraId="1C3C2049" w14:textId="63AC080E" w:rsidR="00250DA2" w:rsidRPr="002119E9" w:rsidRDefault="00250DA2" w:rsidP="001E35CE">
      <w:pPr>
        <w:autoSpaceDE w:val="0"/>
        <w:autoSpaceDN w:val="0"/>
        <w:adjustRightInd w:val="0"/>
        <w:spacing w:after="120"/>
        <w:rPr>
          <w:b/>
          <w:sz w:val="22"/>
          <w:szCs w:val="22"/>
        </w:rPr>
      </w:pPr>
      <w:r>
        <w:rPr>
          <w:b/>
          <w:sz w:val="22"/>
          <w:szCs w:val="22"/>
        </w:rPr>
        <w:t>As provided by the applicant, U</w:t>
      </w:r>
      <w:r w:rsidRPr="002119E9">
        <w:rPr>
          <w:b/>
          <w:sz w:val="22"/>
          <w:szCs w:val="22"/>
        </w:rPr>
        <w:t xml:space="preserve">nlimited potential </w:t>
      </w:r>
      <w:r>
        <w:rPr>
          <w:b/>
          <w:sz w:val="22"/>
          <w:szCs w:val="22"/>
        </w:rPr>
        <w:t>HAP</w:t>
      </w:r>
      <w:r w:rsidRPr="002119E9">
        <w:rPr>
          <w:b/>
          <w:sz w:val="22"/>
          <w:szCs w:val="22"/>
        </w:rPr>
        <w:t xml:space="preserve"> emissions </w:t>
      </w:r>
      <w:r>
        <w:rPr>
          <w:b/>
          <w:sz w:val="22"/>
          <w:szCs w:val="22"/>
        </w:rPr>
        <w:t>for EU 016</w:t>
      </w:r>
      <w:r w:rsidR="00185E2E">
        <w:rPr>
          <w:b/>
          <w:sz w:val="22"/>
          <w:szCs w:val="22"/>
        </w:rPr>
        <w:t>, Table G</w:t>
      </w:r>
      <w:r w:rsidRPr="002119E9">
        <w:rPr>
          <w:b/>
          <w:sz w:val="22"/>
          <w:szCs w:val="22"/>
        </w:rPr>
        <w:t>:</w:t>
      </w:r>
    </w:p>
    <w:tbl>
      <w:tblPr>
        <w:tblStyle w:val="TableGrid"/>
        <w:tblW w:w="0" w:type="auto"/>
        <w:tblLook w:val="04A0" w:firstRow="1" w:lastRow="0" w:firstColumn="1" w:lastColumn="0" w:noHBand="0" w:noVBand="1"/>
      </w:tblPr>
      <w:tblGrid>
        <w:gridCol w:w="6295"/>
        <w:gridCol w:w="3150"/>
      </w:tblGrid>
      <w:tr w:rsidR="00250DA2" w:rsidRPr="008B3CB9" w14:paraId="7DCA5302" w14:textId="77777777" w:rsidTr="00250DA2">
        <w:tc>
          <w:tcPr>
            <w:tcW w:w="6295" w:type="dxa"/>
          </w:tcPr>
          <w:p w14:paraId="67FDAF32" w14:textId="77777777" w:rsidR="00250DA2" w:rsidRPr="008B3CB9" w:rsidRDefault="00250DA2" w:rsidP="00F20CB9">
            <w:pPr>
              <w:autoSpaceDE w:val="0"/>
              <w:autoSpaceDN w:val="0"/>
              <w:adjustRightInd w:val="0"/>
              <w:spacing w:before="120"/>
              <w:rPr>
                <w:b/>
                <w:sz w:val="22"/>
                <w:szCs w:val="22"/>
              </w:rPr>
            </w:pPr>
            <w:r w:rsidRPr="008B3CB9">
              <w:rPr>
                <w:b/>
                <w:sz w:val="22"/>
                <w:szCs w:val="22"/>
              </w:rPr>
              <w:t>Operating Scenario</w:t>
            </w:r>
          </w:p>
        </w:tc>
        <w:tc>
          <w:tcPr>
            <w:tcW w:w="3150" w:type="dxa"/>
          </w:tcPr>
          <w:p w14:paraId="0A37126B" w14:textId="34D73CA4" w:rsidR="00250DA2" w:rsidRPr="008B3CB9" w:rsidRDefault="00250DA2" w:rsidP="00F20CB9">
            <w:pPr>
              <w:autoSpaceDE w:val="0"/>
              <w:autoSpaceDN w:val="0"/>
              <w:adjustRightInd w:val="0"/>
              <w:spacing w:before="120"/>
              <w:rPr>
                <w:b/>
                <w:sz w:val="22"/>
                <w:szCs w:val="22"/>
              </w:rPr>
            </w:pPr>
            <w:r>
              <w:rPr>
                <w:b/>
                <w:sz w:val="22"/>
                <w:szCs w:val="22"/>
              </w:rPr>
              <w:t>HAP</w:t>
            </w:r>
            <w:r w:rsidRPr="008B3CB9">
              <w:rPr>
                <w:b/>
                <w:sz w:val="22"/>
                <w:szCs w:val="22"/>
              </w:rPr>
              <w:t xml:space="preserve"> Emissions (TPY)</w:t>
            </w:r>
          </w:p>
        </w:tc>
      </w:tr>
      <w:tr w:rsidR="00250DA2" w:rsidRPr="008B3CB9" w14:paraId="26D4F57A" w14:textId="77777777" w:rsidTr="00250DA2">
        <w:tc>
          <w:tcPr>
            <w:tcW w:w="6295" w:type="dxa"/>
          </w:tcPr>
          <w:p w14:paraId="55DF6026" w14:textId="54A65AC4" w:rsidR="00250DA2" w:rsidRPr="008B3CB9" w:rsidRDefault="00250DA2" w:rsidP="00250DA2">
            <w:pPr>
              <w:autoSpaceDE w:val="0"/>
              <w:autoSpaceDN w:val="0"/>
              <w:adjustRightInd w:val="0"/>
              <w:spacing w:before="120"/>
              <w:rPr>
                <w:sz w:val="22"/>
                <w:szCs w:val="22"/>
              </w:rPr>
            </w:pPr>
            <w:r>
              <w:rPr>
                <w:sz w:val="22"/>
                <w:szCs w:val="22"/>
              </w:rPr>
              <w:t>Lower HAP Solvent Usage</w:t>
            </w:r>
            <w:r w:rsidRPr="008B3CB9">
              <w:rPr>
                <w:sz w:val="22"/>
                <w:szCs w:val="22"/>
              </w:rPr>
              <w:t xml:space="preserve"> (</w:t>
            </w:r>
            <w:r>
              <w:rPr>
                <w:sz w:val="22"/>
                <w:szCs w:val="22"/>
              </w:rPr>
              <w:t>2.5</w:t>
            </w:r>
            <w:r w:rsidRPr="008B3CB9">
              <w:rPr>
                <w:sz w:val="22"/>
                <w:szCs w:val="22"/>
              </w:rPr>
              <w:t xml:space="preserve">% N-hexane, </w:t>
            </w:r>
            <w:r>
              <w:rPr>
                <w:sz w:val="22"/>
                <w:szCs w:val="22"/>
              </w:rPr>
              <w:t>97.5</w:t>
            </w:r>
            <w:r w:rsidRPr="008B3CB9">
              <w:rPr>
                <w:sz w:val="22"/>
                <w:szCs w:val="22"/>
              </w:rPr>
              <w:t xml:space="preserve">% </w:t>
            </w:r>
            <w:r>
              <w:rPr>
                <w:sz w:val="22"/>
                <w:szCs w:val="22"/>
              </w:rPr>
              <w:t>hexane isomers</w:t>
            </w:r>
            <w:r w:rsidRPr="008B3CB9">
              <w:rPr>
                <w:sz w:val="22"/>
                <w:szCs w:val="22"/>
              </w:rPr>
              <w:t>)</w:t>
            </w:r>
          </w:p>
        </w:tc>
        <w:tc>
          <w:tcPr>
            <w:tcW w:w="3150" w:type="dxa"/>
          </w:tcPr>
          <w:p w14:paraId="75786559" w14:textId="1986F30C" w:rsidR="00250DA2" w:rsidRPr="008B3CB9" w:rsidRDefault="00250DA2" w:rsidP="00F20CB9">
            <w:pPr>
              <w:tabs>
                <w:tab w:val="left" w:pos="1070"/>
              </w:tabs>
              <w:autoSpaceDE w:val="0"/>
              <w:autoSpaceDN w:val="0"/>
              <w:adjustRightInd w:val="0"/>
              <w:spacing w:before="120"/>
              <w:rPr>
                <w:sz w:val="22"/>
                <w:szCs w:val="22"/>
              </w:rPr>
            </w:pPr>
            <w:r>
              <w:rPr>
                <w:sz w:val="22"/>
                <w:szCs w:val="22"/>
              </w:rPr>
              <w:t>8.90</w:t>
            </w:r>
            <w:r w:rsidR="00423F9D">
              <w:rPr>
                <w:rStyle w:val="FootnoteReference"/>
                <w:sz w:val="22"/>
                <w:szCs w:val="22"/>
              </w:rPr>
              <w:footnoteReference w:id="2"/>
            </w:r>
            <w:r>
              <w:rPr>
                <w:sz w:val="22"/>
                <w:szCs w:val="22"/>
              </w:rPr>
              <w:tab/>
            </w:r>
          </w:p>
        </w:tc>
      </w:tr>
    </w:tbl>
    <w:p w14:paraId="429BBEAC" w14:textId="5AAADF33" w:rsidR="00250DA2" w:rsidRPr="001E35CE" w:rsidRDefault="00B37ED1" w:rsidP="001E35CE">
      <w:pPr>
        <w:autoSpaceDE w:val="0"/>
        <w:autoSpaceDN w:val="0"/>
        <w:adjustRightInd w:val="0"/>
        <w:spacing w:before="120" w:after="120"/>
        <w:rPr>
          <w:sz w:val="22"/>
          <w:szCs w:val="22"/>
        </w:rPr>
      </w:pPr>
      <w:r w:rsidRPr="001E35CE">
        <w:rPr>
          <w:sz w:val="22"/>
          <w:szCs w:val="22"/>
        </w:rPr>
        <w:t>Griffin states in the application, that a lower HAP solvent n</w:t>
      </w:r>
      <w:r w:rsidRPr="001E35CE">
        <w:rPr>
          <w:rFonts w:ascii="Cambria Math" w:hAnsi="Cambria Math" w:cs="Cambria Math"/>
          <w:sz w:val="22"/>
          <w:szCs w:val="22"/>
        </w:rPr>
        <w:t>‐</w:t>
      </w:r>
      <w:r w:rsidRPr="001E35CE">
        <w:rPr>
          <w:sz w:val="22"/>
          <w:szCs w:val="22"/>
        </w:rPr>
        <w:t>hexane limitation of 2.5% (n</w:t>
      </w:r>
      <w:r w:rsidRPr="001E35CE">
        <w:rPr>
          <w:rFonts w:ascii="Cambria Math" w:hAnsi="Cambria Math" w:cs="Cambria Math"/>
          <w:sz w:val="22"/>
          <w:szCs w:val="22"/>
        </w:rPr>
        <w:t>‐</w:t>
      </w:r>
      <w:r w:rsidRPr="001E35CE">
        <w:rPr>
          <w:sz w:val="22"/>
          <w:szCs w:val="22"/>
        </w:rPr>
        <w:t>hexane content) is not being requested, but that an example potential emissions scenario was provide per the request of the DEP.  Griffin is requesting the operational flexibility to calculate the monthly and rolling 12</w:t>
      </w:r>
      <w:r w:rsidRPr="001E35CE">
        <w:rPr>
          <w:rFonts w:ascii="Cambria Math" w:hAnsi="Cambria Math" w:cs="Cambria Math"/>
          <w:sz w:val="22"/>
          <w:szCs w:val="22"/>
        </w:rPr>
        <w:t>‐</w:t>
      </w:r>
      <w:r w:rsidRPr="001E35CE">
        <w:rPr>
          <w:sz w:val="22"/>
          <w:szCs w:val="22"/>
        </w:rPr>
        <w:t>month HAP (n</w:t>
      </w:r>
      <w:r w:rsidRPr="001E35CE">
        <w:rPr>
          <w:rFonts w:ascii="Cambria Math" w:hAnsi="Cambria Math" w:cs="Cambria Math"/>
          <w:sz w:val="22"/>
          <w:szCs w:val="22"/>
        </w:rPr>
        <w:t>‐</w:t>
      </w:r>
      <w:r w:rsidRPr="001E35CE">
        <w:rPr>
          <w:sz w:val="22"/>
          <w:szCs w:val="22"/>
        </w:rPr>
        <w:t xml:space="preserve">hexane) emissions to demonstrate compliance with the requested HAP synthetic minor emissions limitation. </w:t>
      </w:r>
    </w:p>
    <w:p w14:paraId="744781B8" w14:textId="6B64AC31" w:rsidR="001E35CE" w:rsidRPr="001E35CE" w:rsidRDefault="001E35CE" w:rsidP="001E35CE">
      <w:pPr>
        <w:pStyle w:val="BodyText"/>
        <w:ind w:left="360" w:hanging="360"/>
        <w:jc w:val="both"/>
        <w:rPr>
          <w:b/>
          <w:sz w:val="22"/>
          <w:szCs w:val="22"/>
        </w:rPr>
      </w:pPr>
      <w:r w:rsidRPr="001E35CE">
        <w:rPr>
          <w:b/>
          <w:sz w:val="22"/>
          <w:szCs w:val="22"/>
        </w:rPr>
        <w:t>3.4</w:t>
      </w:r>
      <w:r w:rsidRPr="001E35CE">
        <w:rPr>
          <w:b/>
          <w:sz w:val="22"/>
          <w:szCs w:val="22"/>
        </w:rPr>
        <w:tab/>
      </w:r>
      <w:r w:rsidRPr="001E35CE">
        <w:rPr>
          <w:b/>
          <w:bCs/>
          <w:sz w:val="22"/>
          <w:szCs w:val="22"/>
        </w:rPr>
        <w:t>Boilers Permitted Fuel Description Requested Changes</w:t>
      </w:r>
    </w:p>
    <w:p w14:paraId="32505EC0" w14:textId="4C8D76D6" w:rsidR="005A3226" w:rsidRPr="001E35CE" w:rsidRDefault="005A3226" w:rsidP="009D7DDA">
      <w:pPr>
        <w:spacing w:after="120"/>
        <w:rPr>
          <w:color w:val="000000"/>
          <w:sz w:val="22"/>
          <w:szCs w:val="22"/>
        </w:rPr>
      </w:pPr>
      <w:r w:rsidRPr="001E35CE">
        <w:rPr>
          <w:color w:val="000000"/>
          <w:sz w:val="22"/>
          <w:szCs w:val="22"/>
        </w:rPr>
        <w:t>Griffin is requesting in this construction permit application, the description of No. 6 fuel oil be changed to “residual oil” for three boilers (EU006 – EU008), No. 2 fuel oil be changed to “distillate oil” for all boilers (EU006 – EU008, and EU017), and processed greases be changed to “processed fats” for all boilers.</w:t>
      </w:r>
    </w:p>
    <w:p w14:paraId="3AFEE55F" w14:textId="4D6A3D40" w:rsidR="005A3226" w:rsidRPr="001E35CE" w:rsidRDefault="005A3226" w:rsidP="009D7DDA">
      <w:pPr>
        <w:spacing w:after="120"/>
        <w:rPr>
          <w:color w:val="000000"/>
          <w:sz w:val="22"/>
          <w:szCs w:val="22"/>
        </w:rPr>
      </w:pPr>
      <w:r w:rsidRPr="001E35CE">
        <w:rPr>
          <w:color w:val="000000"/>
          <w:sz w:val="22"/>
          <w:szCs w:val="22"/>
        </w:rPr>
        <w:t>Griffin requested in this construction permit application that the Title V Operation Permit, No. 0070004-023-AV, be corrected to reflect the applicant requested administrative changes to the Draft/Proposed version of the Title V Operation submitted on November 7, 2014, that could not be incorporated into the Final Title V Operation Permit at the time of permit issuance.  Pursuant to Rule 62-210.360(1)(g), F.A.C., Administrative Correction No. 0070004-026-AV was issued on October 1, 2015, and corrected the Title V permit to reflect that existing Emissions Units 017 is not equipped with an oxygen trim system, references biennial tune</w:t>
      </w:r>
      <w:r w:rsidRPr="001E35CE">
        <w:rPr>
          <w:rFonts w:ascii="Cambria Math" w:hAnsi="Cambria Math" w:cs="Cambria Math"/>
          <w:color w:val="000000"/>
          <w:sz w:val="22"/>
          <w:szCs w:val="22"/>
        </w:rPr>
        <w:t>‐</w:t>
      </w:r>
      <w:r w:rsidRPr="001E35CE">
        <w:rPr>
          <w:color w:val="000000"/>
          <w:sz w:val="22"/>
          <w:szCs w:val="22"/>
        </w:rPr>
        <w:t>ups instead of tune</w:t>
      </w:r>
      <w:r w:rsidRPr="001E35CE">
        <w:rPr>
          <w:rFonts w:ascii="Cambria Math" w:hAnsi="Cambria Math" w:cs="Cambria Math"/>
          <w:color w:val="000000"/>
          <w:sz w:val="22"/>
          <w:szCs w:val="22"/>
        </w:rPr>
        <w:t>‐</w:t>
      </w:r>
      <w:r w:rsidRPr="001E35CE">
        <w:rPr>
          <w:color w:val="000000"/>
          <w:sz w:val="22"/>
          <w:szCs w:val="22"/>
        </w:rPr>
        <w:t xml:space="preserve">ups every five years, and references biennial compliance reports instead of compliance reports every five years.  The requirements for biennial tune-ups and compliance reports are more stringent that the permit allowed.  </w:t>
      </w:r>
    </w:p>
    <w:p w14:paraId="781A058C" w14:textId="77777777" w:rsidR="001E35CE" w:rsidRPr="003604E9" w:rsidRDefault="001E35CE" w:rsidP="009D7DDA">
      <w:pPr>
        <w:spacing w:after="120"/>
        <w:rPr>
          <w:b/>
          <w:bCs/>
          <w:sz w:val="22"/>
          <w:szCs w:val="22"/>
        </w:rPr>
      </w:pPr>
      <w:r w:rsidRPr="003604E9">
        <w:rPr>
          <w:b/>
          <w:sz w:val="22"/>
          <w:szCs w:val="22"/>
        </w:rPr>
        <w:t>3.5</w:t>
      </w:r>
      <w:r w:rsidRPr="003604E9">
        <w:rPr>
          <w:b/>
          <w:sz w:val="22"/>
          <w:szCs w:val="22"/>
        </w:rPr>
        <w:tab/>
      </w:r>
      <w:r w:rsidRPr="003604E9">
        <w:rPr>
          <w:b/>
          <w:bCs/>
          <w:sz w:val="22"/>
          <w:szCs w:val="22"/>
        </w:rPr>
        <w:t>NESHAP Subparts JJJJJJ and DDDDD Applicability</w:t>
      </w:r>
    </w:p>
    <w:p w14:paraId="213BCFDC" w14:textId="1953C279" w:rsidR="005A3226" w:rsidRPr="001E35CE" w:rsidRDefault="005A3226" w:rsidP="009D7DDA">
      <w:pPr>
        <w:spacing w:after="120"/>
        <w:rPr>
          <w:color w:val="000000"/>
          <w:sz w:val="22"/>
          <w:szCs w:val="22"/>
        </w:rPr>
      </w:pPr>
      <w:r w:rsidRPr="001E35CE">
        <w:rPr>
          <w:color w:val="000000"/>
          <w:sz w:val="22"/>
          <w:szCs w:val="22"/>
        </w:rPr>
        <w:t>Griffin also requested in this construction permit application that the indication of applicability of NESHAP Subpart DDDDD to Boiler Nos. 1, 2, and 3 (EU Nos. 006, 007, and 008, respectively), be updated in the permit to reflect the applicability of NESHAP Subpart JJJJJJ (when the units fire an oil after the rule applicability date) due to the requested HAP synthetic minor emissions limits.</w:t>
      </w:r>
    </w:p>
    <w:p w14:paraId="6E279D64" w14:textId="42E260DF" w:rsidR="009D7DDA" w:rsidRPr="001E35CE" w:rsidRDefault="009D7DDA" w:rsidP="009D7DDA">
      <w:pPr>
        <w:spacing w:after="120"/>
        <w:rPr>
          <w:rFonts w:eastAsia="Arial"/>
          <w:sz w:val="22"/>
          <w:szCs w:val="22"/>
        </w:rPr>
      </w:pPr>
      <w:r w:rsidRPr="001E35CE">
        <w:rPr>
          <w:rFonts w:eastAsia="Arial"/>
          <w:sz w:val="22"/>
          <w:szCs w:val="22"/>
        </w:rPr>
        <w:t xml:space="preserve">Due to Griffin’s No. 4 boiler (EU 017) being subject to the new boiler standards of the major source Boiler MACT, 40 CFR 63 Subpart DDDDD, the Department contacted EPA Region 4 for guidance on these federal standards.  EPA Region 4 requested a legal interpretation from its Office of General Counsel on its “Once-In-Always In” policy as it was not aware of EPA ever addressing this particular situation of having separate emissions units in the same source category being subject to both major and area source NESHAP Subparts based on the construction date of the emissions units and different HAP source classification of the facility.  </w:t>
      </w:r>
    </w:p>
    <w:p w14:paraId="00CDFEA4" w14:textId="44B6424F" w:rsidR="009D7DDA" w:rsidRPr="001E35CE" w:rsidRDefault="009D7DDA" w:rsidP="009D7DDA">
      <w:pPr>
        <w:spacing w:before="1"/>
        <w:rPr>
          <w:rFonts w:eastAsia="Arial"/>
          <w:sz w:val="22"/>
          <w:szCs w:val="22"/>
        </w:rPr>
      </w:pPr>
      <w:r w:rsidRPr="001E35CE">
        <w:rPr>
          <w:rFonts w:eastAsia="Arial"/>
          <w:sz w:val="22"/>
          <w:szCs w:val="22"/>
        </w:rPr>
        <w:t xml:space="preserve">On August 6, 2015, the Department was notified that the EPA Office of General Counsel has had internal discussions with others associated with the Section 112 Air Toxics Program, including OGC contacts for the Boiler Major Source Rule 40 CFR 63 Subpart DDDDD and the Boiler Area Source Rule 40 CFR 63 Subpart JJJJJJ.  It was concluded that once the new boiler complied with 40 CFR 63 Subpart DDDDD, the three other </w:t>
      </w:r>
      <w:r w:rsidRPr="001E35CE">
        <w:rPr>
          <w:rFonts w:eastAsia="Arial"/>
          <w:sz w:val="22"/>
          <w:szCs w:val="22"/>
        </w:rPr>
        <w:lastRenderedPageBreak/>
        <w:t>existing boilers were locked in to the 40 CFR 63 Subpart DDDDD rule and therefore, taking limits on the facility’s potential to emit (PTE) to avoid being subject to 40 CFR 63 Subpart DDDDD would not be appropriate.</w:t>
      </w:r>
    </w:p>
    <w:p w14:paraId="74581609" w14:textId="752AEB93" w:rsidR="009D7DDA" w:rsidRDefault="009D7DDA" w:rsidP="009D7DDA">
      <w:pPr>
        <w:spacing w:before="1"/>
        <w:rPr>
          <w:rFonts w:eastAsia="Arial"/>
          <w:sz w:val="22"/>
          <w:szCs w:val="22"/>
        </w:rPr>
      </w:pPr>
      <w:r w:rsidRPr="001E35CE">
        <w:rPr>
          <w:rFonts w:eastAsia="Arial"/>
          <w:sz w:val="22"/>
          <w:szCs w:val="22"/>
        </w:rPr>
        <w:t>Based on this EPA decision, the existing Boiler Nos. 1, 2 and 3 (EU 006, EU 007 and EU 008) and the new Boiler No. 4 remain subject to the standards of 40 CFR 63 Subpart DDDDD.</w:t>
      </w:r>
    </w:p>
    <w:p w14:paraId="0305834E" w14:textId="77777777" w:rsidR="005A3226" w:rsidRPr="001E35CE" w:rsidRDefault="005A3226" w:rsidP="00EA4BCF">
      <w:pPr>
        <w:spacing w:before="1"/>
        <w:rPr>
          <w:rFonts w:eastAsia="Arial"/>
          <w:b/>
          <w:sz w:val="24"/>
          <w:szCs w:val="24"/>
        </w:rPr>
      </w:pPr>
    </w:p>
    <w:p w14:paraId="73D26C7C" w14:textId="01D0A567" w:rsidR="004C2237" w:rsidRPr="00771289" w:rsidRDefault="00771289" w:rsidP="004C7730">
      <w:pPr>
        <w:pStyle w:val="ListParagraph"/>
        <w:numPr>
          <w:ilvl w:val="0"/>
          <w:numId w:val="18"/>
        </w:numPr>
        <w:spacing w:after="120"/>
        <w:ind w:left="360"/>
        <w:rPr>
          <w:b/>
          <w:sz w:val="24"/>
          <w:szCs w:val="24"/>
        </w:rPr>
      </w:pPr>
      <w:r w:rsidRPr="00771289">
        <w:rPr>
          <w:b/>
          <w:sz w:val="24"/>
          <w:szCs w:val="24"/>
        </w:rPr>
        <w:t>RULE APPLICABILTY ANALYSIS</w:t>
      </w:r>
    </w:p>
    <w:p w14:paraId="4C073932" w14:textId="77777777" w:rsidR="00EE4248" w:rsidRDefault="00EE4248">
      <w:pPr>
        <w:rPr>
          <w:b/>
          <w:sz w:val="22"/>
          <w:szCs w:val="22"/>
        </w:rPr>
      </w:pPr>
    </w:p>
    <w:p w14:paraId="05474545" w14:textId="766BAD55" w:rsidR="00F26F56" w:rsidRDefault="00F26F56" w:rsidP="004C7730">
      <w:pPr>
        <w:autoSpaceDE w:val="0"/>
        <w:autoSpaceDN w:val="0"/>
        <w:adjustRightInd w:val="0"/>
        <w:spacing w:after="120"/>
        <w:rPr>
          <w:b/>
          <w:sz w:val="22"/>
          <w:szCs w:val="22"/>
        </w:rPr>
      </w:pPr>
      <w:r>
        <w:rPr>
          <w:b/>
          <w:sz w:val="22"/>
          <w:szCs w:val="22"/>
        </w:rPr>
        <w:t xml:space="preserve">Title V Applicability </w:t>
      </w:r>
      <w:r w:rsidR="003570EA">
        <w:rPr>
          <w:b/>
          <w:sz w:val="22"/>
          <w:szCs w:val="22"/>
        </w:rPr>
        <w:t>for Project</w:t>
      </w:r>
    </w:p>
    <w:p w14:paraId="1D1BC713" w14:textId="14737A43" w:rsidR="00F26F56" w:rsidRDefault="00AF590B" w:rsidP="00B94B35">
      <w:pPr>
        <w:spacing w:after="120"/>
        <w:jc w:val="both"/>
        <w:rPr>
          <w:sz w:val="22"/>
          <w:szCs w:val="22"/>
        </w:rPr>
      </w:pPr>
      <w:r>
        <w:rPr>
          <w:sz w:val="22"/>
          <w:szCs w:val="22"/>
        </w:rPr>
        <w:t xml:space="preserve">The facility will remain </w:t>
      </w:r>
      <w:r w:rsidR="004276B8">
        <w:rPr>
          <w:sz w:val="22"/>
          <w:szCs w:val="22"/>
        </w:rPr>
        <w:t xml:space="preserve">classified as a </w:t>
      </w:r>
      <w:r w:rsidR="00C651D4">
        <w:rPr>
          <w:sz w:val="22"/>
          <w:szCs w:val="22"/>
        </w:rPr>
        <w:t xml:space="preserve">Title V Major Source due the potential </w:t>
      </w:r>
      <w:r w:rsidR="00B94B35" w:rsidRPr="00A110CE">
        <w:rPr>
          <w:sz w:val="22"/>
          <w:szCs w:val="22"/>
        </w:rPr>
        <w:t>Particulate Matter (PM), Particulate Matter with an aerodynamic diameter of 10 microns or less (PM</w:t>
      </w:r>
      <w:r w:rsidR="00B94B35" w:rsidRPr="00A110CE">
        <w:rPr>
          <w:sz w:val="22"/>
          <w:szCs w:val="22"/>
          <w:vertAlign w:val="subscript"/>
        </w:rPr>
        <w:t>10</w:t>
      </w:r>
      <w:r w:rsidR="00B94B35" w:rsidRPr="00A110CE">
        <w:rPr>
          <w:sz w:val="22"/>
          <w:szCs w:val="22"/>
        </w:rPr>
        <w:t>), Particulate Matter with an aerodynamic diameter of 2.5 microns or less (PM</w:t>
      </w:r>
      <w:r w:rsidR="00B94B35" w:rsidRPr="00A110CE">
        <w:rPr>
          <w:sz w:val="22"/>
          <w:szCs w:val="22"/>
          <w:vertAlign w:val="subscript"/>
        </w:rPr>
        <w:t>2.5</w:t>
      </w:r>
      <w:r w:rsidR="00B94B35" w:rsidRPr="00A110CE">
        <w:rPr>
          <w:sz w:val="22"/>
          <w:szCs w:val="22"/>
        </w:rPr>
        <w:t>), Volatile Organic Compounds (VOC), and Sulfur Dioxide (SO</w:t>
      </w:r>
      <w:r w:rsidR="00B94B35" w:rsidRPr="00A110CE">
        <w:rPr>
          <w:sz w:val="22"/>
          <w:szCs w:val="22"/>
          <w:vertAlign w:val="subscript"/>
        </w:rPr>
        <w:t>2</w:t>
      </w:r>
      <w:r w:rsidR="00B94B35" w:rsidRPr="00A110CE">
        <w:rPr>
          <w:sz w:val="22"/>
          <w:szCs w:val="22"/>
        </w:rPr>
        <w:t xml:space="preserve">) emissions </w:t>
      </w:r>
      <w:r w:rsidR="00B94B35">
        <w:rPr>
          <w:sz w:val="22"/>
          <w:szCs w:val="22"/>
        </w:rPr>
        <w:t xml:space="preserve">being </w:t>
      </w:r>
      <w:r w:rsidR="00B94B35" w:rsidRPr="00A110CE">
        <w:rPr>
          <w:sz w:val="22"/>
          <w:szCs w:val="22"/>
        </w:rPr>
        <w:t>greater than the Title V Major Source threshold of 100 tpy</w:t>
      </w:r>
      <w:r w:rsidR="00B94B35">
        <w:rPr>
          <w:sz w:val="22"/>
          <w:szCs w:val="22"/>
        </w:rPr>
        <w:t>.</w:t>
      </w:r>
    </w:p>
    <w:p w14:paraId="6EE5B93D" w14:textId="77777777" w:rsidR="00D401E4" w:rsidRPr="00D401E4" w:rsidRDefault="00D401E4" w:rsidP="004C7730">
      <w:pPr>
        <w:autoSpaceDE w:val="0"/>
        <w:autoSpaceDN w:val="0"/>
        <w:adjustRightInd w:val="0"/>
        <w:spacing w:after="120"/>
        <w:rPr>
          <w:b/>
          <w:sz w:val="22"/>
          <w:szCs w:val="22"/>
        </w:rPr>
      </w:pPr>
      <w:r w:rsidRPr="00D401E4">
        <w:rPr>
          <w:b/>
          <w:sz w:val="22"/>
          <w:szCs w:val="22"/>
        </w:rPr>
        <w:t>Hazardous Air Pollutants</w:t>
      </w:r>
    </w:p>
    <w:p w14:paraId="2A06A13D" w14:textId="6D8383C7" w:rsidR="00D401E4" w:rsidRDefault="00D401E4" w:rsidP="004C7730">
      <w:pPr>
        <w:autoSpaceDE w:val="0"/>
        <w:autoSpaceDN w:val="0"/>
        <w:adjustRightInd w:val="0"/>
        <w:spacing w:after="120"/>
        <w:rPr>
          <w:sz w:val="22"/>
          <w:szCs w:val="22"/>
        </w:rPr>
      </w:pPr>
      <w:r w:rsidRPr="00516346">
        <w:rPr>
          <w:sz w:val="22"/>
          <w:szCs w:val="22"/>
        </w:rPr>
        <w:t xml:space="preserve">Based on the information submitted, </w:t>
      </w:r>
      <w:r w:rsidR="0055758F">
        <w:rPr>
          <w:sz w:val="22"/>
          <w:szCs w:val="22"/>
        </w:rPr>
        <w:t xml:space="preserve">individual HAP emissions will be synthetically limited below 10 tons per year, and </w:t>
      </w:r>
      <w:r w:rsidRPr="00516346">
        <w:rPr>
          <w:sz w:val="22"/>
          <w:szCs w:val="22"/>
        </w:rPr>
        <w:t xml:space="preserve">any combination of hazardous air pollutants </w:t>
      </w:r>
      <w:r w:rsidR="00594D2E">
        <w:rPr>
          <w:sz w:val="22"/>
          <w:szCs w:val="22"/>
        </w:rPr>
        <w:t xml:space="preserve">will be </w:t>
      </w:r>
      <w:r w:rsidRPr="00516346">
        <w:rPr>
          <w:sz w:val="22"/>
          <w:szCs w:val="22"/>
        </w:rPr>
        <w:t>less than 25 tons per year</w:t>
      </w:r>
      <w:r w:rsidR="0055758F">
        <w:rPr>
          <w:sz w:val="22"/>
          <w:szCs w:val="22"/>
        </w:rPr>
        <w:t xml:space="preserve">.  The </w:t>
      </w:r>
      <w:r w:rsidR="009F7DF1">
        <w:rPr>
          <w:sz w:val="22"/>
          <w:szCs w:val="22"/>
        </w:rPr>
        <w:t xml:space="preserve">facility </w:t>
      </w:r>
      <w:r w:rsidR="00594D2E">
        <w:rPr>
          <w:sz w:val="22"/>
          <w:szCs w:val="22"/>
        </w:rPr>
        <w:t>will be</w:t>
      </w:r>
      <w:r w:rsidRPr="00516346">
        <w:rPr>
          <w:sz w:val="22"/>
          <w:szCs w:val="22"/>
        </w:rPr>
        <w:t xml:space="preserve"> classified as a</w:t>
      </w:r>
      <w:r w:rsidR="00274DB1">
        <w:rPr>
          <w:sz w:val="22"/>
          <w:szCs w:val="22"/>
        </w:rPr>
        <w:t xml:space="preserve"> synthetic </w:t>
      </w:r>
      <w:r w:rsidRPr="00516346">
        <w:rPr>
          <w:sz w:val="22"/>
          <w:szCs w:val="22"/>
        </w:rPr>
        <w:t>area source of HAP emissions.</w:t>
      </w:r>
      <w:r w:rsidR="00191451">
        <w:rPr>
          <w:sz w:val="22"/>
          <w:szCs w:val="22"/>
        </w:rPr>
        <w:t xml:space="preserve">  </w:t>
      </w:r>
    </w:p>
    <w:p w14:paraId="2F491B1F" w14:textId="77777777" w:rsidR="007C7460" w:rsidRPr="007C7460" w:rsidRDefault="007C7460" w:rsidP="007C7460">
      <w:pPr>
        <w:pStyle w:val="Heading9"/>
        <w:keepNext w:val="0"/>
        <w:widowControl w:val="0"/>
        <w:ind w:left="0"/>
        <w:rPr>
          <w:b/>
          <w:bCs/>
          <w:szCs w:val="22"/>
          <w:u w:val="none"/>
        </w:rPr>
      </w:pPr>
      <w:r w:rsidRPr="007C7460">
        <w:rPr>
          <w:b/>
          <w:bCs/>
          <w:szCs w:val="22"/>
          <w:u w:val="none"/>
        </w:rPr>
        <w:t>Federal Regulation Applicability (NSPS and NESHAP)</w:t>
      </w:r>
    </w:p>
    <w:p w14:paraId="22A2475C" w14:textId="77777777" w:rsidR="007C7460" w:rsidRDefault="007C7460" w:rsidP="007C7460">
      <w:pPr>
        <w:rPr>
          <w:sz w:val="22"/>
          <w:szCs w:val="22"/>
        </w:rPr>
      </w:pPr>
      <w:r>
        <w:rPr>
          <w:sz w:val="22"/>
          <w:szCs w:val="22"/>
        </w:rPr>
        <w:t>The</w:t>
      </w:r>
      <w:r w:rsidRPr="000302D6">
        <w:rPr>
          <w:sz w:val="22"/>
          <w:szCs w:val="22"/>
        </w:rPr>
        <w:t xml:space="preserve"> U. S. Environmental Protection Agency (EPA) establishes air quality regulations in Title 40 of the Code of Federal Regulations</w:t>
      </w:r>
      <w:r>
        <w:rPr>
          <w:sz w:val="22"/>
          <w:szCs w:val="22"/>
        </w:rPr>
        <w:t xml:space="preserve"> (CFR).  </w:t>
      </w:r>
      <w:r w:rsidRPr="000302D6">
        <w:rPr>
          <w:sz w:val="22"/>
          <w:szCs w:val="22"/>
        </w:rPr>
        <w:t xml:space="preserve">Part 60 </w:t>
      </w:r>
      <w:r>
        <w:rPr>
          <w:sz w:val="22"/>
          <w:szCs w:val="22"/>
        </w:rPr>
        <w:t>specifies New Source Performance Standards (</w:t>
      </w:r>
      <w:r w:rsidRPr="000302D6">
        <w:rPr>
          <w:sz w:val="22"/>
          <w:szCs w:val="22"/>
        </w:rPr>
        <w:t>NSPS</w:t>
      </w:r>
      <w:r>
        <w:rPr>
          <w:sz w:val="22"/>
          <w:szCs w:val="22"/>
        </w:rPr>
        <w:t>)</w:t>
      </w:r>
      <w:r w:rsidRPr="000302D6">
        <w:rPr>
          <w:sz w:val="22"/>
          <w:szCs w:val="22"/>
        </w:rPr>
        <w:t xml:space="preserve"> for </w:t>
      </w:r>
      <w:r>
        <w:rPr>
          <w:sz w:val="22"/>
          <w:szCs w:val="22"/>
        </w:rPr>
        <w:t xml:space="preserve">numerous </w:t>
      </w:r>
      <w:r w:rsidRPr="000302D6">
        <w:rPr>
          <w:sz w:val="22"/>
          <w:szCs w:val="22"/>
        </w:rPr>
        <w:t>industrial categories</w:t>
      </w:r>
      <w:r>
        <w:rPr>
          <w:sz w:val="22"/>
          <w:szCs w:val="22"/>
        </w:rPr>
        <w:t xml:space="preserve">.  </w:t>
      </w:r>
      <w:r w:rsidRPr="000302D6">
        <w:rPr>
          <w:sz w:val="22"/>
          <w:szCs w:val="22"/>
        </w:rPr>
        <w:t>Part 61 specifies National Emission Standards for Hazardous Air Pollutants (NESHAP) based on specific pollutants</w:t>
      </w:r>
      <w:r>
        <w:rPr>
          <w:sz w:val="22"/>
          <w:szCs w:val="22"/>
        </w:rPr>
        <w:t xml:space="preserve">.  </w:t>
      </w:r>
      <w:r w:rsidRPr="000302D6">
        <w:rPr>
          <w:sz w:val="22"/>
          <w:szCs w:val="22"/>
        </w:rPr>
        <w:t xml:space="preserve">Part 63 specifies NESHAP based on the Maximum Achievable Control Technology (MACT) for </w:t>
      </w:r>
      <w:r>
        <w:rPr>
          <w:sz w:val="22"/>
          <w:szCs w:val="22"/>
        </w:rPr>
        <w:t xml:space="preserve">numerous </w:t>
      </w:r>
      <w:r w:rsidRPr="000302D6">
        <w:rPr>
          <w:sz w:val="22"/>
          <w:szCs w:val="22"/>
        </w:rPr>
        <w:t xml:space="preserve">industrial categories.  The Department adopts these federal regulations </w:t>
      </w:r>
      <w:r>
        <w:rPr>
          <w:sz w:val="22"/>
          <w:szCs w:val="22"/>
        </w:rPr>
        <w:t xml:space="preserve">on a quarterly basis </w:t>
      </w:r>
      <w:r w:rsidRPr="000302D6">
        <w:rPr>
          <w:sz w:val="22"/>
          <w:szCs w:val="22"/>
        </w:rPr>
        <w:t>in Rule 62-204.800, F.A.C.</w:t>
      </w:r>
    </w:p>
    <w:p w14:paraId="131BC454" w14:textId="6ED04A1F" w:rsidR="00571AD7" w:rsidRDefault="00571AD7" w:rsidP="004C7730">
      <w:pPr>
        <w:pStyle w:val="BodyText"/>
        <w:numPr>
          <w:ilvl w:val="12"/>
          <w:numId w:val="0"/>
        </w:numPr>
        <w:spacing w:before="120"/>
        <w:rPr>
          <w:sz w:val="22"/>
          <w:szCs w:val="22"/>
        </w:rPr>
      </w:pPr>
      <w:r w:rsidRPr="00D41481">
        <w:rPr>
          <w:sz w:val="22"/>
          <w:szCs w:val="22"/>
        </w:rPr>
        <w:t xml:space="preserve">Federal regulations adopted by reference are given in Rule 62-204.800, F.A.C.  State regulations approved by EPA are given in </w:t>
      </w:r>
      <w:hyperlink r:id="rId30" w:anchor="sp40.3.52.k" w:history="1">
        <w:r w:rsidR="009A668A" w:rsidRPr="00436200">
          <w:rPr>
            <w:rStyle w:val="Hyperlink"/>
            <w:sz w:val="22"/>
            <w:szCs w:val="22"/>
          </w:rPr>
          <w:t>40 CFR 52, Subpart K – Florida</w:t>
        </w:r>
      </w:hyperlink>
      <w:r w:rsidRPr="00D41481">
        <w:rPr>
          <w:sz w:val="22"/>
          <w:szCs w:val="22"/>
        </w:rPr>
        <w:t xml:space="preserve"> – Florida, also known as the State Implementation Plan (SIP) for Florida.</w:t>
      </w:r>
    </w:p>
    <w:p w14:paraId="337AA0A1" w14:textId="77777777" w:rsidR="00E23C72" w:rsidRPr="00D41481" w:rsidRDefault="00E23C72" w:rsidP="00E23C72">
      <w:pPr>
        <w:pStyle w:val="BodyText"/>
        <w:jc w:val="both"/>
        <w:rPr>
          <w:b/>
          <w:sz w:val="22"/>
        </w:rPr>
      </w:pPr>
      <w:r w:rsidRPr="00D41481">
        <w:rPr>
          <w:b/>
          <w:sz w:val="22"/>
        </w:rPr>
        <w:t>NSPS Applicability</w:t>
      </w:r>
    </w:p>
    <w:p w14:paraId="027111CA" w14:textId="5503837E" w:rsidR="009C741D" w:rsidRDefault="00C67A38" w:rsidP="004C7730">
      <w:pPr>
        <w:autoSpaceDE w:val="0"/>
        <w:autoSpaceDN w:val="0"/>
        <w:adjustRightInd w:val="0"/>
        <w:spacing w:after="120"/>
        <w:rPr>
          <w:sz w:val="22"/>
          <w:szCs w:val="22"/>
        </w:rPr>
      </w:pPr>
      <w:r>
        <w:rPr>
          <w:sz w:val="22"/>
          <w:szCs w:val="22"/>
        </w:rPr>
        <w:t>There are no NSPS regulations that become applicable to the facility due to the changes being proposed by the facility in this construction permit project.</w:t>
      </w:r>
    </w:p>
    <w:p w14:paraId="425F364B" w14:textId="77777777" w:rsidR="000E0776" w:rsidRDefault="000E0776" w:rsidP="00B72AAC">
      <w:pPr>
        <w:pStyle w:val="BodyText"/>
        <w:jc w:val="both"/>
        <w:rPr>
          <w:b/>
          <w:sz w:val="22"/>
        </w:rPr>
      </w:pPr>
      <w:r w:rsidRPr="00D41481">
        <w:rPr>
          <w:b/>
          <w:sz w:val="22"/>
        </w:rPr>
        <w:t>NESHAP</w:t>
      </w:r>
      <w:r w:rsidR="00B72AAC" w:rsidRPr="00D41481">
        <w:rPr>
          <w:b/>
          <w:sz w:val="22"/>
        </w:rPr>
        <w:t xml:space="preserve"> Applicability</w:t>
      </w:r>
    </w:p>
    <w:p w14:paraId="43147F05" w14:textId="77777777" w:rsidR="004261DC" w:rsidRPr="00352DBC" w:rsidRDefault="00013BAF" w:rsidP="004261DC">
      <w:pPr>
        <w:pStyle w:val="BodyText"/>
        <w:jc w:val="both"/>
        <w:rPr>
          <w:b/>
          <w:i/>
          <w:sz w:val="22"/>
          <w:szCs w:val="22"/>
        </w:rPr>
      </w:pPr>
      <w:r w:rsidRPr="00013BAF">
        <w:rPr>
          <w:b/>
          <w:sz w:val="22"/>
          <w:szCs w:val="22"/>
        </w:rPr>
        <w:t>Part 61</w:t>
      </w:r>
      <w:r w:rsidR="004261DC">
        <w:rPr>
          <w:b/>
          <w:sz w:val="22"/>
          <w:szCs w:val="22"/>
        </w:rPr>
        <w:t xml:space="preserve"> </w:t>
      </w:r>
      <w:r w:rsidR="004261DC" w:rsidRPr="00352DBC">
        <w:rPr>
          <w:b/>
          <w:i/>
          <w:sz w:val="22"/>
          <w:szCs w:val="22"/>
        </w:rPr>
        <w:t>(Not Applicable)</w:t>
      </w:r>
    </w:p>
    <w:p w14:paraId="7A942982" w14:textId="014FA52A" w:rsidR="00C67A38" w:rsidRDefault="00C67A38" w:rsidP="004C7730">
      <w:pPr>
        <w:autoSpaceDE w:val="0"/>
        <w:autoSpaceDN w:val="0"/>
        <w:adjustRightInd w:val="0"/>
        <w:spacing w:after="120"/>
        <w:rPr>
          <w:sz w:val="22"/>
          <w:szCs w:val="22"/>
        </w:rPr>
      </w:pPr>
      <w:r>
        <w:rPr>
          <w:sz w:val="22"/>
          <w:szCs w:val="22"/>
        </w:rPr>
        <w:t>There are no NESHAP regulations that become applicable to the facility due to the changes being proposed by the facility in this construction permit project.</w:t>
      </w:r>
    </w:p>
    <w:p w14:paraId="58A5DEBA" w14:textId="77777777" w:rsidR="00013BAF" w:rsidRDefault="00013BAF" w:rsidP="00191451">
      <w:pPr>
        <w:autoSpaceDE w:val="0"/>
        <w:autoSpaceDN w:val="0"/>
        <w:adjustRightInd w:val="0"/>
        <w:spacing w:after="120"/>
        <w:rPr>
          <w:b/>
          <w:sz w:val="22"/>
          <w:szCs w:val="22"/>
        </w:rPr>
      </w:pPr>
      <w:r w:rsidRPr="00013BAF">
        <w:rPr>
          <w:b/>
          <w:sz w:val="22"/>
          <w:szCs w:val="22"/>
        </w:rPr>
        <w:t>Part 63</w:t>
      </w:r>
    </w:p>
    <w:p w14:paraId="74147B3A" w14:textId="77777777" w:rsidR="00C67A38" w:rsidRDefault="00C67A38" w:rsidP="004C7730">
      <w:pPr>
        <w:autoSpaceDE w:val="0"/>
        <w:autoSpaceDN w:val="0"/>
        <w:adjustRightInd w:val="0"/>
        <w:spacing w:after="120"/>
        <w:rPr>
          <w:sz w:val="22"/>
          <w:szCs w:val="22"/>
        </w:rPr>
      </w:pPr>
      <w:r>
        <w:rPr>
          <w:sz w:val="22"/>
          <w:szCs w:val="22"/>
        </w:rPr>
        <w:t xml:space="preserve">There are no NESHAP regulations that become applicable to the facility due to the changes being proposed by the facility in this construction permit project.  </w:t>
      </w:r>
    </w:p>
    <w:p w14:paraId="76B67082" w14:textId="50C8685D" w:rsidR="00C67A38" w:rsidRPr="00C67A38" w:rsidRDefault="00C67A38" w:rsidP="004C7730">
      <w:pPr>
        <w:pStyle w:val="ListParagraph"/>
        <w:numPr>
          <w:ilvl w:val="0"/>
          <w:numId w:val="16"/>
        </w:numPr>
        <w:autoSpaceDE w:val="0"/>
        <w:autoSpaceDN w:val="0"/>
        <w:adjustRightInd w:val="0"/>
        <w:spacing w:after="120"/>
        <w:contextualSpacing w:val="0"/>
        <w:rPr>
          <w:sz w:val="22"/>
          <w:szCs w:val="22"/>
        </w:rPr>
      </w:pPr>
      <w:r w:rsidRPr="00C67A38">
        <w:rPr>
          <w:rFonts w:eastAsia="Arial"/>
          <w:sz w:val="22"/>
          <w:szCs w:val="22"/>
        </w:rPr>
        <w:t xml:space="preserve">Existing Boiler Nos. 1, 2 and 3 (EU 006, EU 007 and EU 008) and the new Boiler No. 4 remain subject to the standards of 40 CFR 63 Subpart DDDDD. </w:t>
      </w:r>
    </w:p>
    <w:p w14:paraId="134A92B0" w14:textId="7E5AAB31" w:rsidR="00527D52" w:rsidRDefault="00C67A38" w:rsidP="004C7730">
      <w:pPr>
        <w:pStyle w:val="ListParagraph"/>
        <w:numPr>
          <w:ilvl w:val="0"/>
          <w:numId w:val="16"/>
        </w:numPr>
        <w:autoSpaceDE w:val="0"/>
        <w:autoSpaceDN w:val="0"/>
        <w:adjustRightInd w:val="0"/>
        <w:spacing w:after="120"/>
        <w:contextualSpacing w:val="0"/>
        <w:rPr>
          <w:rFonts w:eastAsia="Arial"/>
          <w:sz w:val="22"/>
          <w:szCs w:val="22"/>
        </w:rPr>
      </w:pPr>
      <w:r>
        <w:rPr>
          <w:rFonts w:eastAsia="Arial"/>
          <w:sz w:val="22"/>
          <w:szCs w:val="22"/>
        </w:rPr>
        <w:t xml:space="preserve">The SPN Fines Solvent Extraction Process </w:t>
      </w:r>
      <w:r w:rsidR="005F4F7A">
        <w:rPr>
          <w:rFonts w:eastAsia="Arial"/>
          <w:sz w:val="22"/>
          <w:szCs w:val="22"/>
        </w:rPr>
        <w:t xml:space="preserve">(EU 016) </w:t>
      </w:r>
      <w:r>
        <w:rPr>
          <w:rFonts w:eastAsia="Arial"/>
          <w:sz w:val="22"/>
          <w:szCs w:val="22"/>
        </w:rPr>
        <w:t>remains subject to the Case-By-Case MACT Determination.</w:t>
      </w:r>
    </w:p>
    <w:p w14:paraId="776678E0" w14:textId="77777777" w:rsidR="00527D52" w:rsidRDefault="00527D52">
      <w:pPr>
        <w:rPr>
          <w:rFonts w:eastAsia="Arial"/>
          <w:sz w:val="22"/>
          <w:szCs w:val="22"/>
        </w:rPr>
      </w:pPr>
      <w:r>
        <w:rPr>
          <w:rFonts w:eastAsia="Arial"/>
          <w:sz w:val="22"/>
          <w:szCs w:val="22"/>
        </w:rPr>
        <w:br w:type="page"/>
      </w:r>
    </w:p>
    <w:p w14:paraId="1698C663" w14:textId="1D078787" w:rsidR="005F4F7A" w:rsidRDefault="005F4F7A" w:rsidP="004C7730">
      <w:pPr>
        <w:pStyle w:val="BodyText"/>
        <w:numPr>
          <w:ilvl w:val="0"/>
          <w:numId w:val="16"/>
        </w:numPr>
        <w:jc w:val="both"/>
        <w:rPr>
          <w:bCs/>
          <w:sz w:val="22"/>
          <w:szCs w:val="22"/>
        </w:rPr>
      </w:pPr>
      <w:r w:rsidRPr="00A110CE">
        <w:rPr>
          <w:bCs/>
          <w:sz w:val="22"/>
          <w:szCs w:val="22"/>
        </w:rPr>
        <w:lastRenderedPageBreak/>
        <w:t xml:space="preserve">The </w:t>
      </w:r>
      <w:r>
        <w:rPr>
          <w:bCs/>
          <w:sz w:val="22"/>
          <w:szCs w:val="22"/>
        </w:rPr>
        <w:t>Emergency G</w:t>
      </w:r>
      <w:r w:rsidRPr="00A110CE">
        <w:rPr>
          <w:bCs/>
          <w:sz w:val="22"/>
          <w:szCs w:val="22"/>
        </w:rPr>
        <w:t xml:space="preserve">enerator </w:t>
      </w:r>
      <w:r>
        <w:rPr>
          <w:bCs/>
          <w:sz w:val="22"/>
          <w:szCs w:val="22"/>
        </w:rPr>
        <w:t xml:space="preserve">(EU 018) remains </w:t>
      </w:r>
      <w:r w:rsidRPr="00A110CE">
        <w:rPr>
          <w:bCs/>
          <w:sz w:val="22"/>
          <w:szCs w:val="22"/>
        </w:rPr>
        <w:t>subject to 40 CFR 63 Subpart ZZZZ - National Emissions Standards for Hazardous Air Pollutants for Stationary Reciprocating Internal Combustion Engines.</w:t>
      </w:r>
      <w:r>
        <w:rPr>
          <w:bCs/>
          <w:sz w:val="22"/>
          <w:szCs w:val="22"/>
        </w:rPr>
        <w:t xml:space="preserve"> </w:t>
      </w:r>
      <w:r w:rsidRPr="00A110CE">
        <w:rPr>
          <w:bCs/>
          <w:sz w:val="22"/>
          <w:szCs w:val="22"/>
        </w:rPr>
        <w:t xml:space="preserve">In accordance with 40 CFR 63.6590(c)(6), new or reconstructed emergency stationary RICE with a site rate of less than or equal to 500 brake hp located at a major source of HAP emissions demonstrate compliance with the Subpart ZZZZ by demonstrating compliance with 40 CFR 60, Subpart IIII for compression ignition engines.  No further requirements of Subpart ZZZZ apply to the engine.  </w:t>
      </w:r>
      <w:r>
        <w:rPr>
          <w:bCs/>
          <w:sz w:val="22"/>
          <w:szCs w:val="22"/>
        </w:rPr>
        <w:t>Th</w:t>
      </w:r>
      <w:r w:rsidRPr="00A110CE">
        <w:rPr>
          <w:bCs/>
          <w:sz w:val="22"/>
          <w:szCs w:val="22"/>
        </w:rPr>
        <w:t xml:space="preserve">e </w:t>
      </w:r>
      <w:r w:rsidR="000B30BD">
        <w:rPr>
          <w:bCs/>
          <w:sz w:val="22"/>
          <w:szCs w:val="22"/>
        </w:rPr>
        <w:t xml:space="preserve">facility states that the </w:t>
      </w:r>
      <w:r w:rsidRPr="00A110CE">
        <w:rPr>
          <w:bCs/>
          <w:sz w:val="22"/>
          <w:szCs w:val="22"/>
        </w:rPr>
        <w:t xml:space="preserve">generator was manufactured </w:t>
      </w:r>
      <w:r w:rsidR="000B30BD">
        <w:rPr>
          <w:bCs/>
          <w:sz w:val="22"/>
          <w:szCs w:val="22"/>
        </w:rPr>
        <w:t xml:space="preserve">in 1995.  Pursuant to 40 CFR 60.4200(a)(2)(i), the engine does not meet the </w:t>
      </w:r>
      <w:r w:rsidR="000B30BD" w:rsidRPr="00A110CE">
        <w:rPr>
          <w:bCs/>
          <w:sz w:val="22"/>
          <w:szCs w:val="22"/>
        </w:rPr>
        <w:t>Subpart</w:t>
      </w:r>
      <w:r w:rsidR="000B30BD">
        <w:rPr>
          <w:bCs/>
          <w:sz w:val="22"/>
          <w:szCs w:val="22"/>
        </w:rPr>
        <w:t xml:space="preserve"> IIII applicability because it was manufactured </w:t>
      </w:r>
      <w:r w:rsidRPr="00A110CE">
        <w:rPr>
          <w:bCs/>
          <w:sz w:val="22"/>
          <w:szCs w:val="22"/>
        </w:rPr>
        <w:t>before April 1, 2006</w:t>
      </w:r>
      <w:r w:rsidR="000B30BD">
        <w:rPr>
          <w:bCs/>
          <w:sz w:val="22"/>
          <w:szCs w:val="22"/>
        </w:rPr>
        <w:t xml:space="preserve">.  </w:t>
      </w:r>
      <w:r w:rsidRPr="00A110CE">
        <w:rPr>
          <w:bCs/>
          <w:sz w:val="22"/>
          <w:szCs w:val="22"/>
        </w:rPr>
        <w:t xml:space="preserve"> </w:t>
      </w:r>
    </w:p>
    <w:p w14:paraId="7AC9C1DE" w14:textId="77777777" w:rsidR="00976100" w:rsidRPr="00A110CE" w:rsidRDefault="00976100" w:rsidP="00976100">
      <w:pPr>
        <w:pStyle w:val="BodyText"/>
        <w:ind w:left="360"/>
        <w:jc w:val="both"/>
        <w:rPr>
          <w:bCs/>
          <w:sz w:val="22"/>
          <w:szCs w:val="22"/>
        </w:rPr>
      </w:pPr>
    </w:p>
    <w:p w14:paraId="070FBD25" w14:textId="77777777" w:rsidR="00AF4B07" w:rsidRPr="00DE70FF" w:rsidRDefault="00AF4B07" w:rsidP="00AF4B07">
      <w:pPr>
        <w:pStyle w:val="BodyText"/>
        <w:spacing w:before="120"/>
        <w:jc w:val="both"/>
        <w:rPr>
          <w:b/>
          <w:sz w:val="22"/>
          <w:szCs w:val="22"/>
        </w:rPr>
      </w:pPr>
      <w:r w:rsidRPr="00DE70FF">
        <w:rPr>
          <w:b/>
          <w:sz w:val="22"/>
          <w:szCs w:val="22"/>
        </w:rPr>
        <w:t>State Requirements</w:t>
      </w:r>
    </w:p>
    <w:p w14:paraId="3CD2C7EB" w14:textId="77777777" w:rsidR="003E7A07" w:rsidRPr="00D41481" w:rsidRDefault="003E7A07" w:rsidP="003E7A07">
      <w:pPr>
        <w:pStyle w:val="Heading9"/>
        <w:keepNext w:val="0"/>
        <w:widowControl w:val="0"/>
        <w:ind w:left="0"/>
        <w:rPr>
          <w:b/>
          <w:bCs/>
          <w:szCs w:val="22"/>
          <w:u w:val="none"/>
        </w:rPr>
      </w:pPr>
      <w:r w:rsidRPr="00D41481">
        <w:rPr>
          <w:b/>
          <w:bCs/>
          <w:szCs w:val="22"/>
          <w:u w:val="none"/>
        </w:rPr>
        <w:t>Air Pollution Regulations</w:t>
      </w:r>
    </w:p>
    <w:p w14:paraId="2DBAA0ED" w14:textId="77777777" w:rsidR="00774214" w:rsidRDefault="003E7A07" w:rsidP="009114E5">
      <w:pPr>
        <w:spacing w:after="120"/>
        <w:rPr>
          <w:sz w:val="22"/>
          <w:szCs w:val="22"/>
        </w:rPr>
      </w:pPr>
      <w:r w:rsidRPr="00D41481">
        <w:rPr>
          <w:sz w:val="22"/>
          <w:szCs w:val="22"/>
        </w:rPr>
        <w:t>Projects at stationary sources with the potential to emit air pollution are subject to the applicable environmental laws specified in Section 403 of the Florida Statutes (F.S.).  The statutes authorize the Department of Environmental Protection (Department) to establish regulations regarding air quality as part of the Florida Administrative Code (F.A.C.), which includes the following applicable chapters:</w:t>
      </w:r>
      <w:r w:rsidR="00EC7978" w:rsidRPr="00EC7978">
        <w:rPr>
          <w:sz w:val="22"/>
          <w:szCs w:val="22"/>
        </w:rPr>
        <w:t xml:space="preserve"> </w:t>
      </w:r>
      <w:r w:rsidR="00EC7978" w:rsidRPr="000302D6">
        <w:rPr>
          <w:sz w:val="22"/>
          <w:szCs w:val="22"/>
        </w:rPr>
        <w:t>62-4 (Permits); 62-204 (Air Pollution Control – General Provisions); 62-210 (Stationary Sources – General Requirements); 62-212 (Stationary Sources – Preconstruction Review); 62-213 (Operation Permits for Major Sources of Air Pollution); 62-296 (Stationary Sources - Emission Standards); and 62-297 (Stationary Sources – Emissions Monitoring).</w:t>
      </w:r>
      <w:r w:rsidR="00EC7978">
        <w:rPr>
          <w:sz w:val="22"/>
          <w:szCs w:val="22"/>
        </w:rPr>
        <w:t xml:space="preserve">  Specifically, air construction permits are required pursuant to Rules 62-4, 62-210 and 62-212, F.A.C.</w:t>
      </w:r>
    </w:p>
    <w:p w14:paraId="01D7F51C" w14:textId="57543444" w:rsidR="00AF4B07" w:rsidRDefault="00AF4B07" w:rsidP="004C7730">
      <w:pPr>
        <w:pStyle w:val="BodyText2"/>
        <w:widowControl w:val="0"/>
        <w:numPr>
          <w:ilvl w:val="0"/>
          <w:numId w:val="0"/>
        </w:numPr>
        <w:jc w:val="left"/>
        <w:rPr>
          <w:szCs w:val="22"/>
        </w:rPr>
      </w:pPr>
      <w:r w:rsidRPr="00DE70FF">
        <w:rPr>
          <w:szCs w:val="22"/>
        </w:rPr>
        <w:t>This project is subject to the applicable rules and regulations defined in the following Chapters of the Florida Administrative Code.</w:t>
      </w:r>
    </w:p>
    <w:p w14:paraId="54E2DD48" w14:textId="77777777" w:rsidR="00AF4B07" w:rsidRDefault="00AF4B07" w:rsidP="00AF4B07">
      <w:pPr>
        <w:pStyle w:val="BodyText2"/>
        <w:widowControl w:val="0"/>
        <w:numPr>
          <w:ilvl w:val="0"/>
          <w:numId w:val="0"/>
        </w:numPr>
        <w:spacing w:after="40"/>
        <w:jc w:val="left"/>
        <w:rPr>
          <w:szCs w:val="22"/>
        </w:rPr>
      </w:pPr>
    </w:p>
    <w:p w14:paraId="6A836AB0" w14:textId="77777777" w:rsidR="00EC7978" w:rsidRPr="00FB3A9D" w:rsidRDefault="00EC7978" w:rsidP="00EC7978">
      <w:pPr>
        <w:pStyle w:val="BodyText"/>
        <w:widowControl w:val="0"/>
        <w:jc w:val="both"/>
        <w:rPr>
          <w:b/>
          <w:sz w:val="22"/>
        </w:rPr>
      </w:pPr>
      <w:r w:rsidRPr="00FB3A9D">
        <w:rPr>
          <w:b/>
          <w:sz w:val="22"/>
        </w:rPr>
        <w:t xml:space="preserve">Chapter 62-4, F.A.C. </w:t>
      </w:r>
    </w:p>
    <w:p w14:paraId="4EA0CB96" w14:textId="77777777" w:rsidR="00EC7978" w:rsidRPr="004408F7" w:rsidRDefault="00EC7978" w:rsidP="00EC7978">
      <w:pPr>
        <w:pStyle w:val="Default"/>
        <w:spacing w:after="120"/>
        <w:rPr>
          <w:b/>
          <w:sz w:val="22"/>
          <w:szCs w:val="22"/>
        </w:rPr>
      </w:pPr>
      <w:r w:rsidRPr="004408F7">
        <w:rPr>
          <w:b/>
          <w:sz w:val="22"/>
          <w:szCs w:val="22"/>
        </w:rPr>
        <w:t xml:space="preserve">Rule 62-4.070(1), F.A.C., Standards for Issuing or Denying Permits; Issuance; Denial. </w:t>
      </w:r>
    </w:p>
    <w:p w14:paraId="09AF17AE" w14:textId="77777777" w:rsidR="00EC7978" w:rsidRDefault="00EC7978" w:rsidP="00EC7978">
      <w:pPr>
        <w:pStyle w:val="Default"/>
        <w:spacing w:after="120"/>
        <w:rPr>
          <w:sz w:val="22"/>
          <w:szCs w:val="22"/>
        </w:rPr>
      </w:pPr>
      <w:r>
        <w:rPr>
          <w:sz w:val="22"/>
          <w:szCs w:val="22"/>
        </w:rPr>
        <w:t xml:space="preserve">This rule applies to all permitting decisions: </w:t>
      </w:r>
    </w:p>
    <w:p w14:paraId="1D2C2E0D" w14:textId="6C8F565E" w:rsidR="001F20D8" w:rsidRDefault="00EC7978" w:rsidP="004C7730">
      <w:pPr>
        <w:pStyle w:val="BodyText"/>
        <w:widowControl w:val="0"/>
        <w:numPr>
          <w:ilvl w:val="0"/>
          <w:numId w:val="4"/>
        </w:numPr>
        <w:ind w:left="1080" w:hanging="360"/>
        <w:rPr>
          <w:sz w:val="22"/>
          <w:szCs w:val="22"/>
        </w:rPr>
      </w:pPr>
      <w:r>
        <w:rPr>
          <w:sz w:val="22"/>
          <w:szCs w:val="22"/>
        </w:rPr>
        <w:t>A permit shall be issued to the applicant upon such conditions as the Department may direct, only if the applicant affirmatively provides the Department with reasonable assurance based on plans, test results, installation of pollution control equipment, or other information, that the construction, expansion, modification, operation, or activity of the installation will not discharge, emit, or cause pollution in contravention of Department standards or rules</w:t>
      </w:r>
      <w:r w:rsidR="001F20D8">
        <w:rPr>
          <w:sz w:val="22"/>
          <w:szCs w:val="22"/>
        </w:rPr>
        <w:t>.</w:t>
      </w:r>
    </w:p>
    <w:p w14:paraId="639795CF" w14:textId="4A562A08" w:rsidR="00EC7978" w:rsidRDefault="00EC7978" w:rsidP="00EC7978">
      <w:pPr>
        <w:pStyle w:val="BodyText"/>
        <w:widowControl w:val="0"/>
        <w:jc w:val="both"/>
        <w:rPr>
          <w:b/>
          <w:sz w:val="22"/>
        </w:rPr>
      </w:pPr>
      <w:r>
        <w:rPr>
          <w:b/>
          <w:sz w:val="22"/>
        </w:rPr>
        <w:t>Rule 62-210.300, F.A.C., Permits Required</w:t>
      </w:r>
    </w:p>
    <w:p w14:paraId="495B055C" w14:textId="77777777" w:rsidR="00EC7978" w:rsidRPr="009D6747" w:rsidRDefault="00EC7978" w:rsidP="002A274B">
      <w:pPr>
        <w:pStyle w:val="BodyText"/>
        <w:widowControl w:val="0"/>
        <w:spacing w:after="0"/>
        <w:jc w:val="both"/>
        <w:rPr>
          <w:sz w:val="22"/>
        </w:rPr>
      </w:pPr>
      <w:r>
        <w:rPr>
          <w:sz w:val="22"/>
        </w:rPr>
        <w:t>Unless exempted, the owner or operator of any facility or emissions unit which emits or can reasonably be expected to emit any air pollutant shall obtain appropriate authorization from the Department prior to undertaking any activity at the facility or emissions unit for which such authorization is required.</w:t>
      </w:r>
    </w:p>
    <w:p w14:paraId="77E37264" w14:textId="77777777" w:rsidR="002A274B" w:rsidRDefault="002A274B" w:rsidP="002A274B">
      <w:pPr>
        <w:pStyle w:val="aCondition"/>
        <w:ind w:left="0" w:firstLine="0"/>
        <w:jc w:val="both"/>
        <w:rPr>
          <w:b/>
          <w:sz w:val="22"/>
        </w:rPr>
      </w:pPr>
    </w:p>
    <w:p w14:paraId="36B9A183" w14:textId="2F0CFFFE" w:rsidR="00EC7978" w:rsidRDefault="00EC7978" w:rsidP="00EC7978">
      <w:pPr>
        <w:pStyle w:val="BodyText"/>
        <w:widowControl w:val="0"/>
        <w:rPr>
          <w:b/>
          <w:sz w:val="22"/>
        </w:rPr>
      </w:pPr>
      <w:r>
        <w:rPr>
          <w:b/>
          <w:sz w:val="22"/>
        </w:rPr>
        <w:t>Rule 62-212.300, F.A.C. - General Preconstruction Review Requirements</w:t>
      </w:r>
    </w:p>
    <w:p w14:paraId="0A75E2A1" w14:textId="77777777" w:rsidR="00EC7978" w:rsidRDefault="00EC7978" w:rsidP="00EC7978">
      <w:pPr>
        <w:pStyle w:val="aCondition"/>
        <w:ind w:left="0" w:firstLine="0"/>
        <w:jc w:val="both"/>
        <w:rPr>
          <w:sz w:val="22"/>
          <w:szCs w:val="22"/>
        </w:rPr>
      </w:pPr>
      <w:r>
        <w:rPr>
          <w:sz w:val="22"/>
          <w:szCs w:val="22"/>
        </w:rPr>
        <w:t>This rule generally applies to the construction or modification of air pollutant emitting facilities in those parts of the state in which the state ambient air quality standards are being met.</w:t>
      </w:r>
    </w:p>
    <w:p w14:paraId="6783EB44" w14:textId="77777777" w:rsidR="00EC7978" w:rsidRDefault="00EC7978" w:rsidP="00EC7978">
      <w:pPr>
        <w:pStyle w:val="aCondition"/>
        <w:ind w:left="0" w:firstLine="0"/>
        <w:jc w:val="both"/>
        <w:rPr>
          <w:sz w:val="22"/>
          <w:szCs w:val="22"/>
        </w:rPr>
      </w:pPr>
    </w:p>
    <w:p w14:paraId="4AE5730F" w14:textId="20C58EEA" w:rsidR="00EC7978" w:rsidRPr="005825E9" w:rsidRDefault="00EC7978" w:rsidP="00EC7978">
      <w:pPr>
        <w:pStyle w:val="Default"/>
        <w:spacing w:after="120"/>
        <w:rPr>
          <w:b/>
          <w:sz w:val="22"/>
          <w:szCs w:val="22"/>
        </w:rPr>
      </w:pPr>
      <w:r w:rsidRPr="005825E9">
        <w:rPr>
          <w:b/>
          <w:sz w:val="22"/>
          <w:szCs w:val="22"/>
        </w:rPr>
        <w:t xml:space="preserve">Rule 62-212.400, F.A.C., PSD. </w:t>
      </w:r>
    </w:p>
    <w:p w14:paraId="5F7BDABE" w14:textId="6FA46007" w:rsidR="00EC7978" w:rsidRDefault="00EC7978" w:rsidP="00EC7978">
      <w:pPr>
        <w:pStyle w:val="aCondition"/>
        <w:ind w:left="0" w:firstLine="0"/>
        <w:jc w:val="both"/>
        <w:rPr>
          <w:sz w:val="22"/>
          <w:szCs w:val="22"/>
        </w:rPr>
      </w:pPr>
      <w:r w:rsidRPr="00630097">
        <w:rPr>
          <w:sz w:val="22"/>
          <w:szCs w:val="22"/>
        </w:rPr>
        <w:t xml:space="preserve">This rule does not apply because the </w:t>
      </w:r>
      <w:r w:rsidR="00B76166" w:rsidRPr="00D80780">
        <w:rPr>
          <w:sz w:val="22"/>
          <w:szCs w:val="22"/>
        </w:rPr>
        <w:t>proposed project will not increase emissions for any PSD pollutant; therefore, the project is not subject to a PSD preconstruction review</w:t>
      </w:r>
      <w:r w:rsidRPr="00630097">
        <w:rPr>
          <w:sz w:val="22"/>
          <w:szCs w:val="22"/>
        </w:rPr>
        <w:t>.</w:t>
      </w:r>
    </w:p>
    <w:p w14:paraId="2D839220" w14:textId="77777777" w:rsidR="00EC7978" w:rsidRDefault="00EC7978" w:rsidP="00EC7978">
      <w:pPr>
        <w:pStyle w:val="aCondition"/>
        <w:ind w:left="0" w:firstLine="0"/>
        <w:jc w:val="both"/>
        <w:rPr>
          <w:b/>
          <w:sz w:val="22"/>
          <w:szCs w:val="22"/>
          <w:u w:val="single"/>
        </w:rPr>
      </w:pPr>
    </w:p>
    <w:p w14:paraId="0A7F657A" w14:textId="77777777" w:rsidR="00527D52" w:rsidRDefault="00527D52">
      <w:pPr>
        <w:rPr>
          <w:b/>
          <w:sz w:val="22"/>
          <w:szCs w:val="22"/>
        </w:rPr>
      </w:pPr>
      <w:r>
        <w:rPr>
          <w:b/>
          <w:sz w:val="22"/>
          <w:szCs w:val="22"/>
        </w:rPr>
        <w:br w:type="page"/>
      </w:r>
    </w:p>
    <w:p w14:paraId="2B89AD11" w14:textId="40B21293" w:rsidR="00EC7978" w:rsidRDefault="00EC7978" w:rsidP="00EC7978">
      <w:pPr>
        <w:pStyle w:val="BodyText"/>
        <w:rPr>
          <w:b/>
          <w:sz w:val="22"/>
          <w:szCs w:val="22"/>
        </w:rPr>
      </w:pPr>
      <w:r>
        <w:rPr>
          <w:b/>
          <w:sz w:val="22"/>
          <w:szCs w:val="22"/>
        </w:rPr>
        <w:lastRenderedPageBreak/>
        <w:t>Chapter 62-213, F.A.C.</w:t>
      </w:r>
    </w:p>
    <w:p w14:paraId="7CCA8FE4" w14:textId="337E52B3" w:rsidR="00762476" w:rsidRDefault="00762476" w:rsidP="00762476">
      <w:pPr>
        <w:pStyle w:val="BodyText"/>
        <w:spacing w:after="0"/>
        <w:jc w:val="both"/>
        <w:rPr>
          <w:sz w:val="22"/>
          <w:szCs w:val="22"/>
        </w:rPr>
      </w:pPr>
      <w:r w:rsidRPr="00180845">
        <w:rPr>
          <w:sz w:val="22"/>
          <w:szCs w:val="22"/>
        </w:rPr>
        <w:t xml:space="preserve">Because the facility is a Title V source, the applicant </w:t>
      </w:r>
      <w:r w:rsidRPr="00762476">
        <w:rPr>
          <w:sz w:val="22"/>
          <w:szCs w:val="22"/>
        </w:rPr>
        <w:t>shall</w:t>
      </w:r>
      <w:r w:rsidRPr="00180845">
        <w:rPr>
          <w:sz w:val="22"/>
          <w:szCs w:val="22"/>
        </w:rPr>
        <w:t xml:space="preserve"> be required to apply for and obtain </w:t>
      </w:r>
      <w:r w:rsidR="00737D5C">
        <w:rPr>
          <w:sz w:val="22"/>
          <w:szCs w:val="22"/>
        </w:rPr>
        <w:t>a revision to its</w:t>
      </w:r>
      <w:r w:rsidRPr="00180845">
        <w:rPr>
          <w:sz w:val="22"/>
          <w:szCs w:val="22"/>
        </w:rPr>
        <w:t xml:space="preserve"> Title V operation permit in accordance with the applicable provisions of Chapter 62-213, subsequent to the construction authorized by the air construction permit, and demonstration of compliance with the conditions of the air construction permit.</w:t>
      </w:r>
    </w:p>
    <w:p w14:paraId="0375A59C" w14:textId="77777777" w:rsidR="00527D52" w:rsidRDefault="00527D52" w:rsidP="00527D52">
      <w:pPr>
        <w:rPr>
          <w:b/>
          <w:sz w:val="22"/>
          <w:szCs w:val="22"/>
        </w:rPr>
      </w:pPr>
    </w:p>
    <w:p w14:paraId="60A3F9BB" w14:textId="4EE006E7" w:rsidR="00753724" w:rsidRDefault="00753724" w:rsidP="00170C33">
      <w:pPr>
        <w:spacing w:after="120"/>
        <w:rPr>
          <w:b/>
          <w:sz w:val="22"/>
          <w:szCs w:val="22"/>
        </w:rPr>
      </w:pPr>
      <w:r>
        <w:rPr>
          <w:b/>
          <w:sz w:val="22"/>
          <w:szCs w:val="22"/>
        </w:rPr>
        <w:t>Rule 62-296.320, F.A.C. – General Pollutant Emission Limitation Standards</w:t>
      </w:r>
    </w:p>
    <w:p w14:paraId="43E7E43C" w14:textId="77777777" w:rsidR="00F06E34" w:rsidRPr="00F308EC" w:rsidRDefault="00F06E34" w:rsidP="00F308EC">
      <w:pPr>
        <w:pStyle w:val="ListParagraph"/>
        <w:numPr>
          <w:ilvl w:val="0"/>
          <w:numId w:val="17"/>
        </w:numPr>
        <w:autoSpaceDE w:val="0"/>
        <w:autoSpaceDN w:val="0"/>
        <w:adjustRightInd w:val="0"/>
        <w:spacing w:after="120"/>
        <w:contextualSpacing w:val="0"/>
        <w:rPr>
          <w:color w:val="000000"/>
          <w:sz w:val="22"/>
          <w:szCs w:val="22"/>
        </w:rPr>
      </w:pPr>
      <w:r w:rsidRPr="00F308EC">
        <w:rPr>
          <w:color w:val="000000"/>
          <w:sz w:val="22"/>
          <w:szCs w:val="22"/>
        </w:rPr>
        <w:t xml:space="preserve">This rule states that VOC content or organic solvents must not be stored, pumped, handled, processed, loaded, or used in any process or installation without the application of known and existing vapor emission control devices or systems deemed necessary and ordered by the DEP. </w:t>
      </w:r>
    </w:p>
    <w:p w14:paraId="2098D73E" w14:textId="20E5A3E7" w:rsidR="00F06E34" w:rsidRPr="00F308EC" w:rsidRDefault="00F06E34" w:rsidP="00F308EC">
      <w:pPr>
        <w:pStyle w:val="ListParagraph"/>
        <w:numPr>
          <w:ilvl w:val="0"/>
          <w:numId w:val="6"/>
        </w:numPr>
        <w:autoSpaceDE w:val="0"/>
        <w:autoSpaceDN w:val="0"/>
        <w:adjustRightInd w:val="0"/>
        <w:spacing w:after="120"/>
        <w:rPr>
          <w:color w:val="000000"/>
          <w:sz w:val="22"/>
          <w:szCs w:val="22"/>
        </w:rPr>
      </w:pPr>
      <w:r w:rsidRPr="00F308EC">
        <w:rPr>
          <w:color w:val="000000"/>
          <w:sz w:val="22"/>
          <w:szCs w:val="22"/>
        </w:rPr>
        <w:t>The applicant states that the facility will ensure that control devices are functioning properly, that VOC work practices are followed, and that leaking equipment is repaired promptly.</w:t>
      </w:r>
    </w:p>
    <w:p w14:paraId="0DB06902" w14:textId="77777777" w:rsidR="00753724" w:rsidRPr="00F308EC" w:rsidRDefault="00753724" w:rsidP="00F308EC">
      <w:pPr>
        <w:pStyle w:val="Default"/>
        <w:numPr>
          <w:ilvl w:val="1"/>
          <w:numId w:val="3"/>
        </w:numPr>
        <w:spacing w:after="120"/>
        <w:ind w:left="1080" w:hanging="360"/>
        <w:rPr>
          <w:sz w:val="22"/>
          <w:szCs w:val="22"/>
        </w:rPr>
      </w:pPr>
      <w:r w:rsidRPr="00F308EC">
        <w:rPr>
          <w:sz w:val="22"/>
          <w:szCs w:val="22"/>
        </w:rPr>
        <w:t xml:space="preserve">This rule prohibits the discharge of air pollutants which cause or contribute to an objectionable odor; </w:t>
      </w:r>
    </w:p>
    <w:p w14:paraId="7E55156F" w14:textId="66312E6E" w:rsidR="00E14B25" w:rsidRPr="00F308EC" w:rsidRDefault="00E14B25" w:rsidP="00F308EC">
      <w:pPr>
        <w:pStyle w:val="ListParagraph"/>
        <w:numPr>
          <w:ilvl w:val="1"/>
          <w:numId w:val="6"/>
        </w:numPr>
        <w:autoSpaceDE w:val="0"/>
        <w:autoSpaceDN w:val="0"/>
        <w:adjustRightInd w:val="0"/>
        <w:spacing w:after="120"/>
        <w:ind w:left="1440"/>
        <w:rPr>
          <w:sz w:val="22"/>
          <w:szCs w:val="22"/>
        </w:rPr>
      </w:pPr>
      <w:r w:rsidRPr="00F308EC">
        <w:rPr>
          <w:sz w:val="22"/>
          <w:szCs w:val="22"/>
        </w:rPr>
        <w:t xml:space="preserve">The applicant states </w:t>
      </w:r>
      <w:r w:rsidR="00737D5C" w:rsidRPr="00F308EC">
        <w:rPr>
          <w:sz w:val="22"/>
          <w:szCs w:val="22"/>
        </w:rPr>
        <w:t>that the proposed changes in this application project will not result in additional potential odors leaving the Hampton facility.</w:t>
      </w:r>
    </w:p>
    <w:p w14:paraId="43B91EAF" w14:textId="09A6FEAE" w:rsidR="00753724" w:rsidRPr="00F308EC" w:rsidRDefault="00753724" w:rsidP="00F308EC">
      <w:pPr>
        <w:pStyle w:val="Default"/>
        <w:numPr>
          <w:ilvl w:val="1"/>
          <w:numId w:val="3"/>
        </w:numPr>
        <w:spacing w:after="120"/>
        <w:ind w:left="1080" w:hanging="360"/>
        <w:rPr>
          <w:sz w:val="22"/>
          <w:szCs w:val="22"/>
        </w:rPr>
      </w:pPr>
      <w:r w:rsidRPr="00F308EC">
        <w:rPr>
          <w:sz w:val="22"/>
          <w:szCs w:val="22"/>
        </w:rPr>
        <w:t xml:space="preserve">This rule specifies a </w:t>
      </w:r>
      <w:r w:rsidR="00762476" w:rsidRPr="00F308EC">
        <w:rPr>
          <w:sz w:val="22"/>
          <w:szCs w:val="22"/>
        </w:rPr>
        <w:t xml:space="preserve">general </w:t>
      </w:r>
      <w:r w:rsidRPr="00F308EC">
        <w:rPr>
          <w:sz w:val="22"/>
          <w:szCs w:val="22"/>
        </w:rPr>
        <w:t>visible emissions standard of 20 percent (%) opacity</w:t>
      </w:r>
      <w:r w:rsidR="00737D5C" w:rsidRPr="00F308EC">
        <w:rPr>
          <w:sz w:val="22"/>
          <w:szCs w:val="22"/>
        </w:rPr>
        <w:t xml:space="preserve"> unless another standard provides a more stringent limit</w:t>
      </w:r>
      <w:r w:rsidRPr="00F308EC">
        <w:rPr>
          <w:sz w:val="22"/>
          <w:szCs w:val="22"/>
        </w:rPr>
        <w:t xml:space="preserve">; and </w:t>
      </w:r>
    </w:p>
    <w:p w14:paraId="2FDAF8D1" w14:textId="77777777" w:rsidR="00753724" w:rsidRPr="00F308EC" w:rsidRDefault="00753724" w:rsidP="00F308EC">
      <w:pPr>
        <w:pStyle w:val="BodyText"/>
        <w:numPr>
          <w:ilvl w:val="1"/>
          <w:numId w:val="3"/>
        </w:numPr>
        <w:ind w:left="1080" w:hanging="360"/>
        <w:jc w:val="both"/>
        <w:rPr>
          <w:b/>
          <w:sz w:val="22"/>
          <w:szCs w:val="22"/>
        </w:rPr>
      </w:pPr>
      <w:r w:rsidRPr="00F308EC">
        <w:rPr>
          <w:sz w:val="22"/>
          <w:szCs w:val="22"/>
        </w:rPr>
        <w:t>The rule prohibits emissions of unconfined PM provisions without taking reasonable precautions to prevent such emissions.</w:t>
      </w:r>
    </w:p>
    <w:p w14:paraId="5BC58653" w14:textId="77777777" w:rsidR="00F308EC" w:rsidRPr="00F308EC" w:rsidRDefault="00F308EC" w:rsidP="00F308EC">
      <w:pPr>
        <w:pStyle w:val="ListParagraph"/>
        <w:numPr>
          <w:ilvl w:val="1"/>
          <w:numId w:val="6"/>
        </w:numPr>
        <w:autoSpaceDE w:val="0"/>
        <w:autoSpaceDN w:val="0"/>
        <w:adjustRightInd w:val="0"/>
        <w:spacing w:after="120"/>
        <w:ind w:left="1440"/>
        <w:contextualSpacing w:val="0"/>
        <w:rPr>
          <w:sz w:val="22"/>
          <w:szCs w:val="22"/>
        </w:rPr>
      </w:pPr>
      <w:r w:rsidRPr="00F308EC">
        <w:rPr>
          <w:sz w:val="22"/>
          <w:szCs w:val="22"/>
        </w:rPr>
        <w:t>Griffin will maintain the drive and parking areas.</w:t>
      </w:r>
    </w:p>
    <w:p w14:paraId="43BF0D59" w14:textId="77777777" w:rsidR="00F308EC" w:rsidRPr="00F308EC" w:rsidRDefault="00F308EC" w:rsidP="00F308EC">
      <w:pPr>
        <w:pStyle w:val="ListParagraph"/>
        <w:numPr>
          <w:ilvl w:val="1"/>
          <w:numId w:val="6"/>
        </w:numPr>
        <w:autoSpaceDE w:val="0"/>
        <w:autoSpaceDN w:val="0"/>
        <w:adjustRightInd w:val="0"/>
        <w:spacing w:after="120"/>
        <w:ind w:left="1440"/>
        <w:contextualSpacing w:val="0"/>
        <w:rPr>
          <w:sz w:val="22"/>
          <w:szCs w:val="22"/>
        </w:rPr>
      </w:pPr>
      <w:r w:rsidRPr="00F308EC">
        <w:rPr>
          <w:sz w:val="22"/>
          <w:szCs w:val="22"/>
        </w:rPr>
        <w:t>Griffin will limit the speed of trucks traveling on the facility property to minimize fugitive PM emissions.</w:t>
      </w:r>
    </w:p>
    <w:p w14:paraId="7497B1DF" w14:textId="136FD817" w:rsidR="00F308EC" w:rsidRPr="00F308EC" w:rsidRDefault="00F308EC" w:rsidP="00F308EC">
      <w:pPr>
        <w:pStyle w:val="ListParagraph"/>
        <w:numPr>
          <w:ilvl w:val="1"/>
          <w:numId w:val="6"/>
        </w:numPr>
        <w:autoSpaceDE w:val="0"/>
        <w:autoSpaceDN w:val="0"/>
        <w:adjustRightInd w:val="0"/>
        <w:spacing w:after="120"/>
        <w:ind w:left="1440"/>
        <w:contextualSpacing w:val="0"/>
        <w:rPr>
          <w:b/>
          <w:sz w:val="22"/>
          <w:szCs w:val="22"/>
        </w:rPr>
      </w:pPr>
      <w:r w:rsidRPr="00F308EC">
        <w:rPr>
          <w:sz w:val="22"/>
          <w:szCs w:val="22"/>
        </w:rPr>
        <w:t>Griffin will exercise good housekeeping practices at all times.</w:t>
      </w:r>
    </w:p>
    <w:p w14:paraId="71B92C7E" w14:textId="77777777" w:rsidR="006E40BF" w:rsidRPr="00D05B4E" w:rsidRDefault="006E40BF" w:rsidP="004C7730">
      <w:pPr>
        <w:widowControl w:val="0"/>
        <w:spacing w:before="240" w:after="120"/>
        <w:rPr>
          <w:b/>
          <w:sz w:val="22"/>
          <w:szCs w:val="22"/>
        </w:rPr>
      </w:pPr>
      <w:r w:rsidRPr="00D05B4E">
        <w:rPr>
          <w:b/>
          <w:sz w:val="22"/>
          <w:szCs w:val="22"/>
        </w:rPr>
        <w:t>Chapter 62-297, F.A.C.</w:t>
      </w:r>
    </w:p>
    <w:p w14:paraId="67ECE3AB" w14:textId="77777777" w:rsidR="006E40BF" w:rsidRDefault="006E40BF" w:rsidP="006E40BF">
      <w:pPr>
        <w:pStyle w:val="ListParagraph"/>
        <w:widowControl w:val="0"/>
        <w:numPr>
          <w:ilvl w:val="0"/>
          <w:numId w:val="5"/>
        </w:numPr>
        <w:spacing w:after="120"/>
        <w:rPr>
          <w:sz w:val="22"/>
          <w:szCs w:val="22"/>
        </w:rPr>
      </w:pPr>
      <w:r w:rsidRPr="00AD3ED1">
        <w:rPr>
          <w:sz w:val="22"/>
          <w:szCs w:val="22"/>
        </w:rPr>
        <w:t>This rule establishes general compliance test requirements as well as standards for persons engaged in visible emissions observations.</w:t>
      </w:r>
    </w:p>
    <w:p w14:paraId="40326D4D" w14:textId="77777777" w:rsidR="00753724" w:rsidRDefault="00753724" w:rsidP="00753724">
      <w:pPr>
        <w:pStyle w:val="BodyText"/>
        <w:spacing w:after="0"/>
        <w:jc w:val="both"/>
        <w:rPr>
          <w:b/>
          <w:sz w:val="22"/>
          <w:szCs w:val="22"/>
        </w:rPr>
      </w:pPr>
    </w:p>
    <w:p w14:paraId="064E815B" w14:textId="0AA63D7E" w:rsidR="00812D31" w:rsidRPr="004C7730" w:rsidRDefault="00812D31" w:rsidP="004C7730">
      <w:pPr>
        <w:pStyle w:val="ListParagraph"/>
        <w:numPr>
          <w:ilvl w:val="0"/>
          <w:numId w:val="18"/>
        </w:numPr>
        <w:spacing w:after="120"/>
        <w:ind w:left="360"/>
        <w:rPr>
          <w:b/>
          <w:bCs/>
          <w:sz w:val="24"/>
          <w:szCs w:val="24"/>
        </w:rPr>
      </w:pPr>
      <w:r w:rsidRPr="004C7730">
        <w:rPr>
          <w:b/>
          <w:bCs/>
          <w:sz w:val="24"/>
          <w:szCs w:val="24"/>
        </w:rPr>
        <w:t>EMISSIONS CONTROLS</w:t>
      </w:r>
      <w:r w:rsidR="004C519F" w:rsidRPr="004C7730">
        <w:rPr>
          <w:b/>
          <w:bCs/>
          <w:sz w:val="24"/>
          <w:szCs w:val="24"/>
        </w:rPr>
        <w:t xml:space="preserve"> AND OPERATING RESTRICTIONS</w:t>
      </w:r>
    </w:p>
    <w:p w14:paraId="0CC525FA" w14:textId="6108A910" w:rsidR="00812D31" w:rsidRDefault="00812D31" w:rsidP="00812D31">
      <w:pPr>
        <w:pStyle w:val="BodyText3"/>
        <w:numPr>
          <w:ilvl w:val="12"/>
          <w:numId w:val="0"/>
        </w:numPr>
        <w:rPr>
          <w:szCs w:val="22"/>
        </w:rPr>
      </w:pPr>
      <w:r>
        <w:rPr>
          <w:szCs w:val="22"/>
        </w:rPr>
        <w:t xml:space="preserve">The facility </w:t>
      </w:r>
      <w:r w:rsidRPr="00C95B2E">
        <w:rPr>
          <w:szCs w:val="22"/>
        </w:rPr>
        <w:t>shall</w:t>
      </w:r>
      <w:r>
        <w:rPr>
          <w:szCs w:val="22"/>
        </w:rPr>
        <w:t xml:space="preserve"> utilize the following measures, and techniques to control air pollutants:</w:t>
      </w:r>
    </w:p>
    <w:p w14:paraId="261403F5" w14:textId="58E56860" w:rsidR="00290ACC" w:rsidRPr="008E7BAF" w:rsidRDefault="00C14FBB" w:rsidP="00E5288F">
      <w:pPr>
        <w:pStyle w:val="ListParagraph"/>
        <w:numPr>
          <w:ilvl w:val="0"/>
          <w:numId w:val="7"/>
        </w:numPr>
        <w:suppressAutoHyphens/>
        <w:spacing w:after="120"/>
        <w:contextualSpacing w:val="0"/>
        <w:rPr>
          <w:sz w:val="22"/>
          <w:szCs w:val="22"/>
        </w:rPr>
      </w:pPr>
      <w:r>
        <w:rPr>
          <w:sz w:val="22"/>
          <w:szCs w:val="22"/>
        </w:rPr>
        <w:t xml:space="preserve">A facility-wide </w:t>
      </w:r>
      <w:r w:rsidRPr="00B51448">
        <w:rPr>
          <w:sz w:val="22"/>
          <w:szCs w:val="22"/>
        </w:rPr>
        <w:t>synthetic minor limit of</w:t>
      </w:r>
      <w:r>
        <w:rPr>
          <w:sz w:val="22"/>
          <w:szCs w:val="22"/>
        </w:rPr>
        <w:t xml:space="preserve"> </w:t>
      </w:r>
      <w:r w:rsidRPr="00B51448">
        <w:rPr>
          <w:sz w:val="22"/>
          <w:szCs w:val="22"/>
        </w:rPr>
        <w:t>individual HAP emissions (n</w:t>
      </w:r>
      <w:r w:rsidRPr="00B51448">
        <w:rPr>
          <w:rFonts w:ascii="Cambria Math" w:hAnsi="Cambria Math" w:cs="Cambria Math"/>
          <w:sz w:val="22"/>
          <w:szCs w:val="22"/>
        </w:rPr>
        <w:t>‐</w:t>
      </w:r>
      <w:r w:rsidRPr="00B51448">
        <w:rPr>
          <w:sz w:val="22"/>
          <w:szCs w:val="22"/>
        </w:rPr>
        <w:t>hexane) to 9.9 tons/rolling 12</w:t>
      </w:r>
      <w:r w:rsidRPr="00B51448">
        <w:rPr>
          <w:rFonts w:ascii="Cambria Math" w:hAnsi="Cambria Math" w:cs="Cambria Math"/>
          <w:sz w:val="22"/>
          <w:szCs w:val="22"/>
        </w:rPr>
        <w:t>‐</w:t>
      </w:r>
      <w:r w:rsidRPr="00B51448">
        <w:rPr>
          <w:sz w:val="22"/>
          <w:szCs w:val="22"/>
        </w:rPr>
        <w:t>month period and total HAP emissions to 24.9 tons/rolling 12</w:t>
      </w:r>
      <w:r w:rsidRPr="00B51448">
        <w:rPr>
          <w:rFonts w:ascii="Cambria Math" w:hAnsi="Cambria Math" w:cs="Cambria Math"/>
          <w:sz w:val="22"/>
          <w:szCs w:val="22"/>
        </w:rPr>
        <w:t>‐</w:t>
      </w:r>
      <w:r w:rsidRPr="00B51448">
        <w:rPr>
          <w:sz w:val="22"/>
          <w:szCs w:val="22"/>
        </w:rPr>
        <w:t>month period</w:t>
      </w:r>
      <w:r w:rsidR="00290ACC" w:rsidRPr="008E7BAF">
        <w:rPr>
          <w:sz w:val="22"/>
          <w:szCs w:val="22"/>
        </w:rPr>
        <w:t>;</w:t>
      </w:r>
    </w:p>
    <w:p w14:paraId="2BCA26A9" w14:textId="772D9D10" w:rsidR="00B84D8C" w:rsidRDefault="00B84D8C" w:rsidP="00D36CB7">
      <w:pPr>
        <w:pStyle w:val="ListParagraph"/>
        <w:numPr>
          <w:ilvl w:val="1"/>
          <w:numId w:val="7"/>
        </w:numPr>
        <w:autoSpaceDE w:val="0"/>
        <w:autoSpaceDN w:val="0"/>
        <w:adjustRightInd w:val="0"/>
        <w:spacing w:after="120"/>
        <w:contextualSpacing w:val="0"/>
        <w:rPr>
          <w:sz w:val="22"/>
          <w:szCs w:val="22"/>
        </w:rPr>
      </w:pPr>
      <w:r w:rsidRPr="00B84D8C">
        <w:rPr>
          <w:sz w:val="22"/>
          <w:szCs w:val="22"/>
        </w:rPr>
        <w:t>The facility will use a combination of normal HAP solvent (consisting of 64% n-hexane and 36% hexane isomers) and lower HAP solvent (consisting of an average of less than 5% n</w:t>
      </w:r>
      <w:r w:rsidRPr="00B84D8C">
        <w:rPr>
          <w:rFonts w:ascii="Cambria Math" w:hAnsi="Cambria Math" w:cs="Cambria Math"/>
          <w:sz w:val="22"/>
          <w:szCs w:val="22"/>
        </w:rPr>
        <w:t>‐</w:t>
      </w:r>
      <w:r w:rsidRPr="00B84D8C">
        <w:rPr>
          <w:sz w:val="22"/>
          <w:szCs w:val="22"/>
        </w:rPr>
        <w:t>hexane (HAP) content with the remaining content comprised of iso</w:t>
      </w:r>
      <w:r w:rsidRPr="00B84D8C">
        <w:rPr>
          <w:rFonts w:ascii="Cambria Math" w:hAnsi="Cambria Math" w:cs="Cambria Math"/>
          <w:sz w:val="22"/>
          <w:szCs w:val="22"/>
        </w:rPr>
        <w:t>‐</w:t>
      </w:r>
      <w:r w:rsidRPr="00B84D8C">
        <w:rPr>
          <w:sz w:val="22"/>
          <w:szCs w:val="22"/>
        </w:rPr>
        <w:t>hexane or hexane isomers) in the SPN Fines Solvent Extraction Process for the purposes of compliance with the HAP Emissions Caps</w:t>
      </w:r>
      <w:r w:rsidR="00D36CB7">
        <w:rPr>
          <w:sz w:val="22"/>
          <w:szCs w:val="22"/>
        </w:rPr>
        <w:t>;</w:t>
      </w:r>
    </w:p>
    <w:p w14:paraId="03413226" w14:textId="014667FD" w:rsidR="00527D52" w:rsidRDefault="00D36CB7" w:rsidP="00D36CB7">
      <w:pPr>
        <w:pStyle w:val="ListParagraph"/>
        <w:numPr>
          <w:ilvl w:val="1"/>
          <w:numId w:val="7"/>
        </w:numPr>
        <w:autoSpaceDE w:val="0"/>
        <w:autoSpaceDN w:val="0"/>
        <w:adjustRightInd w:val="0"/>
        <w:spacing w:after="120"/>
        <w:contextualSpacing w:val="0"/>
        <w:rPr>
          <w:sz w:val="22"/>
          <w:szCs w:val="22"/>
        </w:rPr>
      </w:pPr>
      <w:r w:rsidRPr="00D36CB7">
        <w:rPr>
          <w:sz w:val="22"/>
          <w:szCs w:val="22"/>
        </w:rPr>
        <w:t>The calculation methodology to determine n-hexane emissions from the SPN Files Solvent Extraction Process will be: solvent loss = end of month inventory + solvent shipments received – beginning of month inventory</w:t>
      </w:r>
      <w:r w:rsidR="00DA47AB">
        <w:rPr>
          <w:sz w:val="22"/>
          <w:szCs w:val="22"/>
        </w:rPr>
        <w:t>;</w:t>
      </w:r>
    </w:p>
    <w:p w14:paraId="05100159" w14:textId="77777777" w:rsidR="00527D52" w:rsidRDefault="00527D52">
      <w:pPr>
        <w:rPr>
          <w:sz w:val="22"/>
          <w:szCs w:val="22"/>
        </w:rPr>
      </w:pPr>
      <w:r>
        <w:rPr>
          <w:sz w:val="22"/>
          <w:szCs w:val="22"/>
        </w:rPr>
        <w:br w:type="page"/>
      </w:r>
    </w:p>
    <w:p w14:paraId="3D320EDA" w14:textId="6650EB97" w:rsidR="004A6A69" w:rsidRDefault="004A6A69" w:rsidP="00D30F6F">
      <w:pPr>
        <w:pStyle w:val="ListParagraph"/>
        <w:numPr>
          <w:ilvl w:val="1"/>
          <w:numId w:val="7"/>
        </w:numPr>
        <w:autoSpaceDE w:val="0"/>
        <w:autoSpaceDN w:val="0"/>
        <w:adjustRightInd w:val="0"/>
        <w:spacing w:after="120"/>
        <w:contextualSpacing w:val="0"/>
        <w:rPr>
          <w:sz w:val="22"/>
          <w:szCs w:val="22"/>
        </w:rPr>
      </w:pPr>
      <w:r w:rsidRPr="004A6A69">
        <w:rPr>
          <w:sz w:val="22"/>
          <w:szCs w:val="22"/>
        </w:rPr>
        <w:lastRenderedPageBreak/>
        <w:t>Actual n</w:t>
      </w:r>
      <w:r w:rsidRPr="004A6A69">
        <w:rPr>
          <w:rFonts w:ascii="Cambria Math" w:hAnsi="Cambria Math" w:cs="Cambria Math"/>
          <w:sz w:val="22"/>
          <w:szCs w:val="22"/>
        </w:rPr>
        <w:t>‐</w:t>
      </w:r>
      <w:r w:rsidRPr="004A6A69">
        <w:rPr>
          <w:sz w:val="22"/>
          <w:szCs w:val="22"/>
        </w:rPr>
        <w:t>hexane emissions from the SPN fines solvent extraction</w:t>
      </w:r>
      <w:r w:rsidR="006A28D9">
        <w:rPr>
          <w:sz w:val="22"/>
          <w:szCs w:val="22"/>
        </w:rPr>
        <w:t>, the</w:t>
      </w:r>
      <w:r w:rsidRPr="004A6A69">
        <w:rPr>
          <w:sz w:val="22"/>
          <w:szCs w:val="22"/>
        </w:rPr>
        <w:t xml:space="preserve"> four boilers</w:t>
      </w:r>
      <w:r w:rsidR="006A28D9">
        <w:rPr>
          <w:sz w:val="22"/>
          <w:szCs w:val="22"/>
        </w:rPr>
        <w:t>, and any other unregulated or insignificant unit/activity</w:t>
      </w:r>
      <w:r w:rsidRPr="004A6A69">
        <w:rPr>
          <w:sz w:val="22"/>
          <w:szCs w:val="22"/>
        </w:rPr>
        <w:t xml:space="preserve"> will be calculated using the monthly emissions calculation formula, and a rolling 12</w:t>
      </w:r>
      <w:r w:rsidRPr="004A6A69">
        <w:rPr>
          <w:rFonts w:ascii="Cambria Math" w:hAnsi="Cambria Math" w:cs="Cambria Math"/>
          <w:sz w:val="22"/>
          <w:szCs w:val="22"/>
        </w:rPr>
        <w:t>‐</w:t>
      </w:r>
      <w:r w:rsidRPr="004A6A69">
        <w:rPr>
          <w:sz w:val="22"/>
          <w:szCs w:val="22"/>
        </w:rPr>
        <w:t>month emissions calculation at the end of each operating month</w:t>
      </w:r>
      <w:r w:rsidR="00D13469">
        <w:rPr>
          <w:sz w:val="22"/>
          <w:szCs w:val="22"/>
        </w:rPr>
        <w:t>;</w:t>
      </w:r>
    </w:p>
    <w:p w14:paraId="14EC91DD" w14:textId="77777777" w:rsidR="00527D52" w:rsidRDefault="00E03504" w:rsidP="00D30F6F">
      <w:pPr>
        <w:pStyle w:val="ListParagraph"/>
        <w:numPr>
          <w:ilvl w:val="1"/>
          <w:numId w:val="7"/>
        </w:numPr>
        <w:autoSpaceDE w:val="0"/>
        <w:autoSpaceDN w:val="0"/>
        <w:adjustRightInd w:val="0"/>
        <w:spacing w:after="120"/>
        <w:contextualSpacing w:val="0"/>
        <w:rPr>
          <w:sz w:val="22"/>
          <w:szCs w:val="22"/>
        </w:rPr>
      </w:pPr>
      <w:r w:rsidRPr="006E40BF">
        <w:rPr>
          <w:sz w:val="22"/>
          <w:szCs w:val="22"/>
        </w:rPr>
        <w:t>The density of the solvent will be as reported by the supplier, the n-hexane content of the delivered solvent will be as reported in the Certificate of Analysis provided by the supplier;</w:t>
      </w:r>
    </w:p>
    <w:p w14:paraId="350C83F8" w14:textId="0DF4C247" w:rsidR="006C22BE" w:rsidRDefault="00645584" w:rsidP="00D30F6F">
      <w:pPr>
        <w:pStyle w:val="ListParagraph"/>
        <w:numPr>
          <w:ilvl w:val="1"/>
          <w:numId w:val="7"/>
        </w:numPr>
        <w:autoSpaceDE w:val="0"/>
        <w:autoSpaceDN w:val="0"/>
        <w:adjustRightInd w:val="0"/>
        <w:spacing w:after="120"/>
        <w:contextualSpacing w:val="0"/>
        <w:rPr>
          <w:b/>
          <w:sz w:val="22"/>
          <w:szCs w:val="22"/>
        </w:rPr>
      </w:pPr>
      <w:r>
        <w:rPr>
          <w:sz w:val="22"/>
          <w:szCs w:val="22"/>
        </w:rPr>
        <w:t>Compliance with the total HAP emissions cap shall be demonstrated by complying with the individual HAP emissions cap for the pollutant n-hexane</w:t>
      </w:r>
      <w:r w:rsidRPr="00645584">
        <w:rPr>
          <w:b/>
          <w:sz w:val="22"/>
          <w:szCs w:val="22"/>
        </w:rPr>
        <w:t>;</w:t>
      </w:r>
    </w:p>
    <w:p w14:paraId="4FE6811A" w14:textId="7BF78914" w:rsidR="00812D31" w:rsidRDefault="00C14FBB" w:rsidP="00E5288F">
      <w:pPr>
        <w:numPr>
          <w:ilvl w:val="0"/>
          <w:numId w:val="7"/>
        </w:numPr>
        <w:autoSpaceDE w:val="0"/>
        <w:autoSpaceDN w:val="0"/>
        <w:adjustRightInd w:val="0"/>
        <w:spacing w:after="120"/>
        <w:rPr>
          <w:sz w:val="22"/>
          <w:szCs w:val="22"/>
        </w:rPr>
      </w:pPr>
      <w:r>
        <w:rPr>
          <w:sz w:val="22"/>
          <w:szCs w:val="22"/>
        </w:rPr>
        <w:t xml:space="preserve">A facility-wide PSD </w:t>
      </w:r>
      <w:r w:rsidRPr="00B51448">
        <w:rPr>
          <w:sz w:val="22"/>
          <w:szCs w:val="22"/>
        </w:rPr>
        <w:t xml:space="preserve">synthetic minor limit </w:t>
      </w:r>
      <w:r>
        <w:rPr>
          <w:sz w:val="22"/>
          <w:szCs w:val="22"/>
        </w:rPr>
        <w:t>249.</w:t>
      </w:r>
      <w:r w:rsidR="001933A5">
        <w:rPr>
          <w:sz w:val="22"/>
          <w:szCs w:val="22"/>
        </w:rPr>
        <w:t>0</w:t>
      </w:r>
      <w:r>
        <w:rPr>
          <w:sz w:val="22"/>
          <w:szCs w:val="22"/>
        </w:rPr>
        <w:t xml:space="preserve"> </w:t>
      </w:r>
      <w:r w:rsidRPr="00B51448">
        <w:rPr>
          <w:sz w:val="22"/>
          <w:szCs w:val="22"/>
        </w:rPr>
        <w:t>tons</w:t>
      </w:r>
      <w:r>
        <w:rPr>
          <w:sz w:val="22"/>
          <w:szCs w:val="22"/>
        </w:rPr>
        <w:t xml:space="preserve"> of VOC emissions </w:t>
      </w:r>
      <w:r w:rsidRPr="00B51448">
        <w:rPr>
          <w:sz w:val="22"/>
          <w:szCs w:val="22"/>
        </w:rPr>
        <w:t>/rolling 12</w:t>
      </w:r>
      <w:r w:rsidRPr="00B51448">
        <w:rPr>
          <w:rFonts w:ascii="Cambria Math" w:hAnsi="Cambria Math" w:cs="Cambria Math"/>
          <w:sz w:val="22"/>
          <w:szCs w:val="22"/>
        </w:rPr>
        <w:t>‐</w:t>
      </w:r>
      <w:r w:rsidRPr="00B51448">
        <w:rPr>
          <w:sz w:val="22"/>
          <w:szCs w:val="22"/>
        </w:rPr>
        <w:t>month period</w:t>
      </w:r>
      <w:r>
        <w:rPr>
          <w:sz w:val="22"/>
          <w:szCs w:val="22"/>
        </w:rPr>
        <w:t>;</w:t>
      </w:r>
      <w:r w:rsidR="004108E9" w:rsidRPr="008E7BAF">
        <w:rPr>
          <w:sz w:val="22"/>
          <w:szCs w:val="22"/>
        </w:rPr>
        <w:t xml:space="preserve"> </w:t>
      </w:r>
    </w:p>
    <w:p w14:paraId="6C4B41D8" w14:textId="614AA28E" w:rsidR="006C22BE" w:rsidRDefault="006C22BE" w:rsidP="006C22BE">
      <w:pPr>
        <w:numPr>
          <w:ilvl w:val="1"/>
          <w:numId w:val="7"/>
        </w:numPr>
        <w:autoSpaceDE w:val="0"/>
        <w:autoSpaceDN w:val="0"/>
        <w:adjustRightInd w:val="0"/>
        <w:spacing w:after="120"/>
        <w:rPr>
          <w:sz w:val="22"/>
          <w:szCs w:val="22"/>
        </w:rPr>
      </w:pPr>
      <w:r w:rsidRPr="004A6A69">
        <w:rPr>
          <w:sz w:val="22"/>
          <w:szCs w:val="22"/>
        </w:rPr>
        <w:t xml:space="preserve">Actual </w:t>
      </w:r>
      <w:r>
        <w:rPr>
          <w:sz w:val="22"/>
          <w:szCs w:val="22"/>
        </w:rPr>
        <w:t>VOC</w:t>
      </w:r>
      <w:r w:rsidRPr="004A6A69">
        <w:rPr>
          <w:sz w:val="22"/>
          <w:szCs w:val="22"/>
        </w:rPr>
        <w:t xml:space="preserve"> emissions from the SPN fines solvent extraction</w:t>
      </w:r>
      <w:r w:rsidR="00D13469">
        <w:rPr>
          <w:sz w:val="22"/>
          <w:szCs w:val="22"/>
        </w:rPr>
        <w:t>, the</w:t>
      </w:r>
      <w:r w:rsidRPr="004A6A69">
        <w:rPr>
          <w:sz w:val="22"/>
          <w:szCs w:val="22"/>
        </w:rPr>
        <w:t xml:space="preserve"> four boilers</w:t>
      </w:r>
      <w:r w:rsidR="00D13469">
        <w:rPr>
          <w:sz w:val="22"/>
          <w:szCs w:val="22"/>
        </w:rPr>
        <w:t xml:space="preserve">, the emergency generator, the </w:t>
      </w:r>
      <w:r w:rsidR="00D13469" w:rsidRPr="00392A4F">
        <w:rPr>
          <w:sz w:val="22"/>
          <w:szCs w:val="22"/>
        </w:rPr>
        <w:t>Inedible animal by</w:t>
      </w:r>
      <w:r w:rsidR="00D13469" w:rsidRPr="00392A4F">
        <w:rPr>
          <w:rFonts w:ascii="Cambria Math" w:hAnsi="Cambria Math" w:cs="Cambria Math"/>
          <w:sz w:val="22"/>
          <w:szCs w:val="22"/>
        </w:rPr>
        <w:t>‐</w:t>
      </w:r>
      <w:r w:rsidR="00D13469" w:rsidRPr="00392A4F">
        <w:rPr>
          <w:sz w:val="22"/>
          <w:szCs w:val="22"/>
        </w:rPr>
        <w:t>products recycling operation</w:t>
      </w:r>
      <w:r w:rsidR="00D13469">
        <w:rPr>
          <w:sz w:val="22"/>
          <w:szCs w:val="22"/>
        </w:rPr>
        <w:t xml:space="preserve"> (EUs 014, 019, and 020), and any other unregulated or insignificant unit/activity</w:t>
      </w:r>
      <w:r w:rsidRPr="004A6A69">
        <w:rPr>
          <w:sz w:val="22"/>
          <w:szCs w:val="22"/>
        </w:rPr>
        <w:t xml:space="preserve"> will be calculated using the monthly emissions calculation formula, and a rolling 12</w:t>
      </w:r>
      <w:r w:rsidRPr="004A6A69">
        <w:rPr>
          <w:rFonts w:ascii="Cambria Math" w:hAnsi="Cambria Math" w:cs="Cambria Math"/>
          <w:sz w:val="22"/>
          <w:szCs w:val="22"/>
        </w:rPr>
        <w:t>‐</w:t>
      </w:r>
      <w:r w:rsidRPr="004A6A69">
        <w:rPr>
          <w:sz w:val="22"/>
          <w:szCs w:val="22"/>
        </w:rPr>
        <w:t>month emissions calculation at the end of each operating month</w:t>
      </w:r>
      <w:r w:rsidR="00D13469">
        <w:rPr>
          <w:sz w:val="22"/>
          <w:szCs w:val="22"/>
        </w:rPr>
        <w:t>;</w:t>
      </w:r>
    </w:p>
    <w:p w14:paraId="16686151" w14:textId="77777777" w:rsidR="00DC0827" w:rsidRPr="00DC0827" w:rsidRDefault="00DC0827" w:rsidP="00DC0827">
      <w:pPr>
        <w:pStyle w:val="ListParagraph"/>
        <w:numPr>
          <w:ilvl w:val="1"/>
          <w:numId w:val="7"/>
        </w:numPr>
        <w:autoSpaceDE w:val="0"/>
        <w:autoSpaceDN w:val="0"/>
        <w:adjustRightInd w:val="0"/>
        <w:spacing w:after="120"/>
        <w:contextualSpacing w:val="0"/>
        <w:rPr>
          <w:sz w:val="22"/>
          <w:szCs w:val="22"/>
        </w:rPr>
      </w:pPr>
      <w:r w:rsidRPr="00DC0827">
        <w:rPr>
          <w:sz w:val="22"/>
          <w:szCs w:val="22"/>
        </w:rPr>
        <w:t>The applicant estimates potential VOC emissions from the SPN Fines Solvent Extraction Process of 233.25 tons per year.</w:t>
      </w:r>
    </w:p>
    <w:p w14:paraId="73771ACE" w14:textId="1500FDDF" w:rsidR="00D96C5A" w:rsidRPr="00FD5F7D" w:rsidRDefault="00D96C5A" w:rsidP="00DC0827">
      <w:pPr>
        <w:pStyle w:val="ListParagraph"/>
        <w:numPr>
          <w:ilvl w:val="2"/>
          <w:numId w:val="7"/>
        </w:numPr>
        <w:autoSpaceDE w:val="0"/>
        <w:autoSpaceDN w:val="0"/>
        <w:adjustRightInd w:val="0"/>
        <w:spacing w:after="120"/>
        <w:contextualSpacing w:val="0"/>
        <w:rPr>
          <w:sz w:val="22"/>
          <w:szCs w:val="22"/>
        </w:rPr>
      </w:pPr>
      <w:r w:rsidRPr="00FD5F7D">
        <w:rPr>
          <w:sz w:val="22"/>
          <w:szCs w:val="22"/>
        </w:rPr>
        <w:t xml:space="preserve">The maximum feeding rate of the SPN fines into the extractor is being </w:t>
      </w:r>
      <w:r w:rsidR="00D04758" w:rsidRPr="00FD5F7D">
        <w:rPr>
          <w:sz w:val="22"/>
          <w:szCs w:val="22"/>
        </w:rPr>
        <w:t>limited to no more than 14,340 tons /rolling 12-month period.</w:t>
      </w:r>
    </w:p>
    <w:p w14:paraId="371E5E02" w14:textId="77777777" w:rsidR="00DC0827" w:rsidRPr="00FD5F7D" w:rsidRDefault="00DC0827" w:rsidP="00D04758">
      <w:pPr>
        <w:pStyle w:val="ListParagraph"/>
        <w:numPr>
          <w:ilvl w:val="3"/>
          <w:numId w:val="7"/>
        </w:numPr>
        <w:autoSpaceDE w:val="0"/>
        <w:autoSpaceDN w:val="0"/>
        <w:adjustRightInd w:val="0"/>
        <w:spacing w:after="120"/>
        <w:contextualSpacing w:val="0"/>
        <w:rPr>
          <w:sz w:val="22"/>
          <w:szCs w:val="22"/>
        </w:rPr>
      </w:pPr>
      <w:r w:rsidRPr="00FD5F7D">
        <w:rPr>
          <w:sz w:val="22"/>
          <w:szCs w:val="22"/>
        </w:rPr>
        <w:t>The applicant states the average 12-month rolling solvent loss rate to be 5.89 gallons/ton (based on first five 12</w:t>
      </w:r>
      <w:r w:rsidRPr="00FD5F7D">
        <w:rPr>
          <w:rFonts w:ascii="Cambria Math" w:hAnsi="Cambria Math" w:cs="Cambria Math"/>
          <w:sz w:val="22"/>
          <w:szCs w:val="22"/>
        </w:rPr>
        <w:t>‐</w:t>
      </w:r>
      <w:r w:rsidRPr="00FD5F7D">
        <w:rPr>
          <w:sz w:val="22"/>
          <w:szCs w:val="22"/>
        </w:rPr>
        <w:t>month rolling periods of normal operation),</w:t>
      </w:r>
    </w:p>
    <w:p w14:paraId="17B637BF" w14:textId="3EC836E3" w:rsidR="00DC0827" w:rsidRPr="00FD5F7D" w:rsidRDefault="00DC0827" w:rsidP="00D04758">
      <w:pPr>
        <w:pStyle w:val="ListParagraph"/>
        <w:numPr>
          <w:ilvl w:val="3"/>
          <w:numId w:val="7"/>
        </w:numPr>
        <w:autoSpaceDE w:val="0"/>
        <w:autoSpaceDN w:val="0"/>
        <w:adjustRightInd w:val="0"/>
        <w:spacing w:after="120"/>
        <w:contextualSpacing w:val="0"/>
        <w:rPr>
          <w:sz w:val="22"/>
          <w:szCs w:val="22"/>
        </w:rPr>
      </w:pPr>
      <w:r w:rsidRPr="00FD5F7D">
        <w:rPr>
          <w:sz w:val="22"/>
          <w:szCs w:val="22"/>
        </w:rPr>
        <w:t>The applicant states the average solvent density to be 5.52 pounds/gallon.</w:t>
      </w:r>
    </w:p>
    <w:p w14:paraId="48E4BA67" w14:textId="4CD103BB" w:rsidR="004570E5" w:rsidRDefault="004570E5" w:rsidP="00D04758">
      <w:pPr>
        <w:pStyle w:val="ListParagraph"/>
        <w:numPr>
          <w:ilvl w:val="3"/>
          <w:numId w:val="7"/>
        </w:numPr>
        <w:autoSpaceDE w:val="0"/>
        <w:autoSpaceDN w:val="0"/>
        <w:adjustRightInd w:val="0"/>
        <w:spacing w:after="120"/>
        <w:contextualSpacing w:val="0"/>
        <w:rPr>
          <w:sz w:val="22"/>
          <w:szCs w:val="22"/>
        </w:rPr>
      </w:pPr>
      <w:r>
        <w:rPr>
          <w:sz w:val="22"/>
          <w:szCs w:val="22"/>
        </w:rPr>
        <w:t>The SPN Fines feed rate to the extractor is limited to 100 tons per day in Construction Per</w:t>
      </w:r>
      <w:r w:rsidR="007624BA">
        <w:rPr>
          <w:sz w:val="22"/>
          <w:szCs w:val="22"/>
        </w:rPr>
        <w:t>mit No. 0070004-022-AC.</w:t>
      </w:r>
    </w:p>
    <w:p w14:paraId="75D222D3" w14:textId="77777777" w:rsidR="000C6C8E" w:rsidRDefault="00A4599B" w:rsidP="00D04758">
      <w:pPr>
        <w:pStyle w:val="ListParagraph"/>
        <w:numPr>
          <w:ilvl w:val="3"/>
          <w:numId w:val="7"/>
        </w:numPr>
        <w:autoSpaceDE w:val="0"/>
        <w:autoSpaceDN w:val="0"/>
        <w:adjustRightInd w:val="0"/>
        <w:spacing w:after="120"/>
        <w:contextualSpacing w:val="0"/>
        <w:rPr>
          <w:sz w:val="22"/>
          <w:szCs w:val="22"/>
        </w:rPr>
      </w:pPr>
      <w:r w:rsidRPr="00FD5F7D">
        <w:rPr>
          <w:sz w:val="22"/>
          <w:szCs w:val="22"/>
        </w:rPr>
        <w:t xml:space="preserve">Without an annual SPN fines feeding rate limitation, potential VOC emissions from the SPN Fines Solvent Extraction Process could exceed the estimated 233.25 tons per year and the requested facility wide VOC emission cap of 249 tons per year due to the VOC emissions from the other emissions units/activities at the facility.  </w:t>
      </w:r>
    </w:p>
    <w:p w14:paraId="195BA46F" w14:textId="3A5C1EBD" w:rsidR="000C6C8E" w:rsidRPr="00FD5F7D" w:rsidRDefault="000C6C8E" w:rsidP="000C6C8E">
      <w:pPr>
        <w:pStyle w:val="ListParagraph"/>
        <w:numPr>
          <w:ilvl w:val="4"/>
          <w:numId w:val="7"/>
        </w:numPr>
        <w:autoSpaceDE w:val="0"/>
        <w:autoSpaceDN w:val="0"/>
        <w:adjustRightInd w:val="0"/>
        <w:spacing w:after="120"/>
        <w:contextualSpacing w:val="0"/>
        <w:rPr>
          <w:sz w:val="22"/>
          <w:szCs w:val="22"/>
        </w:rPr>
      </w:pPr>
      <w:r w:rsidRPr="00FD5F7D">
        <w:rPr>
          <w:sz w:val="22"/>
          <w:szCs w:val="22"/>
        </w:rPr>
        <w:t>[</w:t>
      </w:r>
      <w:r>
        <w:rPr>
          <w:sz w:val="22"/>
          <w:szCs w:val="22"/>
        </w:rPr>
        <w:t>100</w:t>
      </w:r>
      <w:r w:rsidRPr="00FD5F7D">
        <w:rPr>
          <w:sz w:val="22"/>
          <w:szCs w:val="22"/>
        </w:rPr>
        <w:t xml:space="preserve"> tons SPN Fines/</w:t>
      </w:r>
      <w:r>
        <w:rPr>
          <w:sz w:val="22"/>
          <w:szCs w:val="22"/>
        </w:rPr>
        <w:t>day X 365 days/yr</w:t>
      </w:r>
      <w:r w:rsidRPr="00FD5F7D">
        <w:rPr>
          <w:sz w:val="22"/>
          <w:szCs w:val="22"/>
        </w:rPr>
        <w:t xml:space="preserve"> x 5.89 gallons/ton x 5.52 lbs/gallon x 1 ton/2000 lbs = </w:t>
      </w:r>
      <w:r>
        <w:rPr>
          <w:sz w:val="22"/>
          <w:szCs w:val="22"/>
        </w:rPr>
        <w:t>593.4</w:t>
      </w:r>
      <w:r w:rsidRPr="00FD5F7D">
        <w:rPr>
          <w:sz w:val="22"/>
          <w:szCs w:val="22"/>
        </w:rPr>
        <w:t xml:space="preserve"> tons]</w:t>
      </w:r>
    </w:p>
    <w:p w14:paraId="44AA6539" w14:textId="7B140921" w:rsidR="00A4599B" w:rsidRPr="00FD5F7D" w:rsidRDefault="00927583" w:rsidP="000C6C8E">
      <w:pPr>
        <w:pStyle w:val="ListParagraph"/>
        <w:numPr>
          <w:ilvl w:val="4"/>
          <w:numId w:val="7"/>
        </w:numPr>
        <w:autoSpaceDE w:val="0"/>
        <w:autoSpaceDN w:val="0"/>
        <w:adjustRightInd w:val="0"/>
        <w:spacing w:after="120"/>
        <w:contextualSpacing w:val="0"/>
        <w:rPr>
          <w:sz w:val="22"/>
          <w:szCs w:val="22"/>
        </w:rPr>
      </w:pPr>
      <w:r w:rsidRPr="00FD5F7D">
        <w:rPr>
          <w:sz w:val="22"/>
          <w:szCs w:val="22"/>
        </w:rPr>
        <w:t>[</w:t>
      </w:r>
      <w:r>
        <w:rPr>
          <w:sz w:val="22"/>
          <w:szCs w:val="22"/>
        </w:rPr>
        <w:t>60</w:t>
      </w:r>
      <w:r w:rsidRPr="00FD5F7D">
        <w:rPr>
          <w:sz w:val="22"/>
          <w:szCs w:val="22"/>
        </w:rPr>
        <w:t xml:space="preserve"> tons SPN Fines/</w:t>
      </w:r>
      <w:r>
        <w:rPr>
          <w:sz w:val="22"/>
          <w:szCs w:val="22"/>
        </w:rPr>
        <w:t>day X 365 days/yr</w:t>
      </w:r>
      <w:r w:rsidRPr="00FD5F7D">
        <w:rPr>
          <w:sz w:val="22"/>
          <w:szCs w:val="22"/>
        </w:rPr>
        <w:t xml:space="preserve"> x 5.89 gallons/ton x 5.52 lbs/gallon x 1 ton/2000 lbs = </w:t>
      </w:r>
      <w:r>
        <w:rPr>
          <w:sz w:val="22"/>
          <w:szCs w:val="22"/>
        </w:rPr>
        <w:t>356.02</w:t>
      </w:r>
      <w:r w:rsidRPr="00FD5F7D">
        <w:rPr>
          <w:sz w:val="22"/>
          <w:szCs w:val="22"/>
        </w:rPr>
        <w:t xml:space="preserve"> tons]</w:t>
      </w:r>
    </w:p>
    <w:p w14:paraId="733ABE1D" w14:textId="154FCE3A" w:rsidR="00620830" w:rsidRPr="00FD5F7D" w:rsidRDefault="00620830" w:rsidP="00D04758">
      <w:pPr>
        <w:pStyle w:val="ListParagraph"/>
        <w:numPr>
          <w:ilvl w:val="3"/>
          <w:numId w:val="7"/>
        </w:numPr>
        <w:autoSpaceDE w:val="0"/>
        <w:autoSpaceDN w:val="0"/>
        <w:adjustRightInd w:val="0"/>
        <w:spacing w:after="120"/>
        <w:contextualSpacing w:val="0"/>
        <w:rPr>
          <w:sz w:val="22"/>
          <w:szCs w:val="22"/>
        </w:rPr>
      </w:pPr>
      <w:r w:rsidRPr="00FD5F7D">
        <w:rPr>
          <w:sz w:val="22"/>
          <w:szCs w:val="22"/>
        </w:rPr>
        <w:t>At this annual</w:t>
      </w:r>
      <w:r w:rsidR="002B628E" w:rsidRPr="00FD5F7D">
        <w:rPr>
          <w:sz w:val="22"/>
          <w:szCs w:val="22"/>
        </w:rPr>
        <w:t xml:space="preserve"> SPN Fines feed rate</w:t>
      </w:r>
      <w:r w:rsidRPr="00FD5F7D">
        <w:rPr>
          <w:sz w:val="22"/>
          <w:szCs w:val="22"/>
        </w:rPr>
        <w:t xml:space="preserve">, </w:t>
      </w:r>
      <w:r w:rsidR="006C2DD2">
        <w:rPr>
          <w:sz w:val="22"/>
          <w:szCs w:val="22"/>
        </w:rPr>
        <w:t xml:space="preserve">potential </w:t>
      </w:r>
      <w:r w:rsidRPr="00FD5F7D">
        <w:rPr>
          <w:sz w:val="22"/>
          <w:szCs w:val="22"/>
        </w:rPr>
        <w:t xml:space="preserve">VOC emissions </w:t>
      </w:r>
      <w:r w:rsidR="00356FB5" w:rsidRPr="00FD5F7D">
        <w:rPr>
          <w:sz w:val="22"/>
          <w:szCs w:val="22"/>
        </w:rPr>
        <w:t xml:space="preserve">should </w:t>
      </w:r>
      <w:r w:rsidRPr="00FD5F7D">
        <w:rPr>
          <w:sz w:val="22"/>
          <w:szCs w:val="22"/>
        </w:rPr>
        <w:t xml:space="preserve">not exceed </w:t>
      </w:r>
      <w:r w:rsidR="00C512CD" w:rsidRPr="00FD5F7D">
        <w:rPr>
          <w:sz w:val="22"/>
          <w:szCs w:val="22"/>
        </w:rPr>
        <w:t>the stated 233.25 tons per year [14,340 tons SPN Fines/yr x 5.89 gallons/ton x 5.52 lbs/gallon x 1 ton/2000 lbs = 233.12 tons]</w:t>
      </w:r>
    </w:p>
    <w:p w14:paraId="5B0D31C0" w14:textId="5584928B" w:rsidR="000E318C" w:rsidRPr="00FD5F7D" w:rsidRDefault="00620830" w:rsidP="000E318C">
      <w:pPr>
        <w:pStyle w:val="ListParagraph"/>
        <w:numPr>
          <w:ilvl w:val="4"/>
          <w:numId w:val="7"/>
        </w:numPr>
        <w:autoSpaceDE w:val="0"/>
        <w:autoSpaceDN w:val="0"/>
        <w:adjustRightInd w:val="0"/>
        <w:spacing w:after="120"/>
        <w:contextualSpacing w:val="0"/>
        <w:rPr>
          <w:sz w:val="22"/>
          <w:szCs w:val="22"/>
        </w:rPr>
      </w:pPr>
      <w:r w:rsidRPr="00FD5F7D">
        <w:rPr>
          <w:sz w:val="22"/>
          <w:szCs w:val="22"/>
        </w:rPr>
        <w:t>It is noted that t</w:t>
      </w:r>
      <w:r w:rsidR="000E318C" w:rsidRPr="00FD5F7D">
        <w:rPr>
          <w:sz w:val="22"/>
          <w:szCs w:val="22"/>
        </w:rPr>
        <w:t xml:space="preserve">he 14, 340 tons/rolling 12-month period operational restriction </w:t>
      </w:r>
      <w:r w:rsidR="00334313">
        <w:rPr>
          <w:sz w:val="22"/>
          <w:szCs w:val="22"/>
        </w:rPr>
        <w:t xml:space="preserve">should result in a </w:t>
      </w:r>
      <w:r w:rsidR="000E318C" w:rsidRPr="00FD5F7D">
        <w:rPr>
          <w:sz w:val="22"/>
          <w:szCs w:val="22"/>
        </w:rPr>
        <w:t>lower potential HAP emissions of n-hexane from the SPN Fines Solvent Extraction Process to</w:t>
      </w:r>
      <w:r w:rsidR="009A6C10" w:rsidRPr="00FD5F7D">
        <w:rPr>
          <w:sz w:val="22"/>
          <w:szCs w:val="22"/>
        </w:rPr>
        <w:t xml:space="preserve"> approximately</w:t>
      </w:r>
      <w:r w:rsidR="000E318C" w:rsidRPr="00FD5F7D">
        <w:rPr>
          <w:sz w:val="22"/>
          <w:szCs w:val="22"/>
        </w:rPr>
        <w:t xml:space="preserve"> 5.82 tons per year</w:t>
      </w:r>
      <w:r w:rsidR="009A6C10" w:rsidRPr="00FD5F7D">
        <w:rPr>
          <w:sz w:val="22"/>
          <w:szCs w:val="22"/>
        </w:rPr>
        <w:t xml:space="preserve"> (8.90 tons was estimated by the facility</w:t>
      </w:r>
      <w:r w:rsidR="00334313">
        <w:rPr>
          <w:sz w:val="22"/>
          <w:szCs w:val="22"/>
        </w:rPr>
        <w:t xml:space="preserve"> in the submitted application</w:t>
      </w:r>
      <w:r w:rsidR="009A6C10" w:rsidRPr="00FD5F7D">
        <w:rPr>
          <w:sz w:val="22"/>
          <w:szCs w:val="22"/>
        </w:rPr>
        <w:t>)</w:t>
      </w:r>
      <w:r w:rsidR="000E318C" w:rsidRPr="00FD5F7D">
        <w:rPr>
          <w:sz w:val="22"/>
          <w:szCs w:val="22"/>
        </w:rPr>
        <w:t>.</w:t>
      </w:r>
    </w:p>
    <w:p w14:paraId="060635C3" w14:textId="76F6B8FC" w:rsidR="00A4599B" w:rsidRDefault="00A4599B">
      <w:pPr>
        <w:rPr>
          <w:sz w:val="22"/>
          <w:szCs w:val="22"/>
        </w:rPr>
      </w:pPr>
      <w:r>
        <w:rPr>
          <w:sz w:val="22"/>
          <w:szCs w:val="22"/>
        </w:rPr>
        <w:br w:type="page"/>
      </w:r>
    </w:p>
    <w:p w14:paraId="72239A9F" w14:textId="77777777" w:rsidR="00A4599B" w:rsidRPr="00A4599B" w:rsidRDefault="00A4599B" w:rsidP="00A4599B">
      <w:pPr>
        <w:autoSpaceDE w:val="0"/>
        <w:autoSpaceDN w:val="0"/>
        <w:adjustRightInd w:val="0"/>
        <w:spacing w:after="120"/>
        <w:ind w:left="3240"/>
        <w:rPr>
          <w:sz w:val="22"/>
          <w:szCs w:val="22"/>
        </w:rPr>
      </w:pPr>
    </w:p>
    <w:p w14:paraId="6121C768" w14:textId="59497313" w:rsidR="00B52D32" w:rsidRPr="003916F1" w:rsidRDefault="00C24282" w:rsidP="004C7730">
      <w:pPr>
        <w:pStyle w:val="ListParagraph"/>
        <w:numPr>
          <w:ilvl w:val="0"/>
          <w:numId w:val="18"/>
        </w:numPr>
        <w:spacing w:before="240" w:after="120"/>
        <w:ind w:left="360"/>
        <w:contextualSpacing w:val="0"/>
        <w:rPr>
          <w:b/>
          <w:caps/>
          <w:sz w:val="24"/>
          <w:szCs w:val="24"/>
        </w:rPr>
      </w:pPr>
      <w:r w:rsidRPr="003916F1">
        <w:rPr>
          <w:b/>
          <w:caps/>
          <w:sz w:val="24"/>
          <w:szCs w:val="24"/>
        </w:rPr>
        <w:t>EMISSIONS Testing</w:t>
      </w:r>
    </w:p>
    <w:p w14:paraId="73304353" w14:textId="07BDDFE0" w:rsidR="001D4979" w:rsidRPr="003916F1" w:rsidRDefault="001D4979" w:rsidP="007C565A">
      <w:pPr>
        <w:autoSpaceDE w:val="0"/>
        <w:autoSpaceDN w:val="0"/>
        <w:adjustRightInd w:val="0"/>
        <w:spacing w:after="120"/>
        <w:rPr>
          <w:sz w:val="22"/>
          <w:szCs w:val="22"/>
        </w:rPr>
      </w:pPr>
      <w:r w:rsidRPr="003916F1">
        <w:rPr>
          <w:sz w:val="22"/>
          <w:szCs w:val="22"/>
        </w:rPr>
        <w:t>The applicant re</w:t>
      </w:r>
      <w:r w:rsidR="009C029A" w:rsidRPr="003916F1">
        <w:rPr>
          <w:sz w:val="22"/>
          <w:szCs w:val="22"/>
        </w:rPr>
        <w:t>-</w:t>
      </w:r>
      <w:r w:rsidRPr="003916F1">
        <w:rPr>
          <w:sz w:val="22"/>
          <w:szCs w:val="22"/>
        </w:rPr>
        <w:t xml:space="preserve">determined potential </w:t>
      </w:r>
      <w:r w:rsidR="007E4514" w:rsidRPr="003916F1">
        <w:rPr>
          <w:sz w:val="22"/>
          <w:szCs w:val="22"/>
        </w:rPr>
        <w:t xml:space="preserve">VOC </w:t>
      </w:r>
      <w:r w:rsidRPr="003916F1">
        <w:rPr>
          <w:sz w:val="22"/>
          <w:szCs w:val="22"/>
        </w:rPr>
        <w:t xml:space="preserve">emissions for </w:t>
      </w:r>
      <w:r w:rsidR="00370ADC" w:rsidRPr="003916F1">
        <w:rPr>
          <w:sz w:val="22"/>
          <w:szCs w:val="22"/>
        </w:rPr>
        <w:t xml:space="preserve">the </w:t>
      </w:r>
      <w:r w:rsidR="007C565A" w:rsidRPr="003916F1">
        <w:rPr>
          <w:sz w:val="22"/>
          <w:szCs w:val="22"/>
        </w:rPr>
        <w:t xml:space="preserve">Inedible Animal By-products Protein Conversion Process Line #1 (EU 014), the Inedible Animal By-products Protein Conversion Process Line #3 (EU 019), and the newly identified </w:t>
      </w:r>
      <w:r w:rsidR="00B040BB" w:rsidRPr="003916F1">
        <w:rPr>
          <w:bCs/>
          <w:sz w:val="22"/>
          <w:szCs w:val="22"/>
        </w:rPr>
        <w:t>Feather Protein Conversion Process Line</w:t>
      </w:r>
      <w:r w:rsidR="00B040BB" w:rsidRPr="003916F1">
        <w:rPr>
          <w:sz w:val="22"/>
          <w:szCs w:val="22"/>
        </w:rPr>
        <w:t xml:space="preserve"> </w:t>
      </w:r>
      <w:r w:rsidR="007C565A" w:rsidRPr="003916F1">
        <w:rPr>
          <w:sz w:val="22"/>
          <w:szCs w:val="22"/>
        </w:rPr>
        <w:t xml:space="preserve">(EU 020) based on emission factors determined from VOC testing conducted at other Griffin facilities.  </w:t>
      </w:r>
      <w:r w:rsidRPr="003916F1">
        <w:rPr>
          <w:sz w:val="22"/>
          <w:szCs w:val="22"/>
        </w:rPr>
        <w:t xml:space="preserve">To provide reasonable assurance that the emission factors </w:t>
      </w:r>
      <w:r w:rsidR="007C565A" w:rsidRPr="003916F1">
        <w:rPr>
          <w:sz w:val="22"/>
          <w:szCs w:val="22"/>
        </w:rPr>
        <w:t xml:space="preserve">used </w:t>
      </w:r>
      <w:r w:rsidRPr="003916F1">
        <w:rPr>
          <w:sz w:val="22"/>
          <w:szCs w:val="22"/>
        </w:rPr>
        <w:t>are a good representation of VOC emissions</w:t>
      </w:r>
      <w:r w:rsidR="0060200C" w:rsidRPr="003916F1">
        <w:rPr>
          <w:sz w:val="22"/>
          <w:szCs w:val="22"/>
        </w:rPr>
        <w:t xml:space="preserve"> from these emissions units</w:t>
      </w:r>
      <w:r w:rsidR="00471E44" w:rsidRPr="003916F1">
        <w:rPr>
          <w:sz w:val="22"/>
          <w:szCs w:val="22"/>
        </w:rPr>
        <w:t xml:space="preserve"> and to ensure PSD is not triggered for the pollutant VOC</w:t>
      </w:r>
      <w:r w:rsidRPr="003916F1">
        <w:rPr>
          <w:sz w:val="22"/>
          <w:szCs w:val="22"/>
        </w:rPr>
        <w:t>, the Department has determined that the applicant shall meet the following provisions:</w:t>
      </w:r>
    </w:p>
    <w:p w14:paraId="77AFF930" w14:textId="10170067" w:rsidR="008712A3" w:rsidRPr="003916F1" w:rsidRDefault="008712A3" w:rsidP="00E5288F">
      <w:pPr>
        <w:pStyle w:val="ListParagraph"/>
        <w:numPr>
          <w:ilvl w:val="0"/>
          <w:numId w:val="13"/>
        </w:numPr>
        <w:autoSpaceDE w:val="0"/>
        <w:autoSpaceDN w:val="0"/>
        <w:adjustRightInd w:val="0"/>
        <w:spacing w:after="120"/>
        <w:contextualSpacing w:val="0"/>
        <w:rPr>
          <w:sz w:val="22"/>
          <w:szCs w:val="22"/>
        </w:rPr>
      </w:pPr>
      <w:r w:rsidRPr="003916F1">
        <w:rPr>
          <w:sz w:val="22"/>
          <w:szCs w:val="22"/>
        </w:rPr>
        <w:t>Record the total monthly production and 12-month annual total production of each Emissions Unit 014, 019, and 020.</w:t>
      </w:r>
    </w:p>
    <w:p w14:paraId="5AEFC85C" w14:textId="190D5152" w:rsidR="00A4599B" w:rsidRPr="003916F1" w:rsidRDefault="008712A3" w:rsidP="00F20CB9">
      <w:pPr>
        <w:pStyle w:val="ListParagraph"/>
        <w:numPr>
          <w:ilvl w:val="0"/>
          <w:numId w:val="13"/>
        </w:numPr>
        <w:autoSpaceDE w:val="0"/>
        <w:autoSpaceDN w:val="0"/>
        <w:adjustRightInd w:val="0"/>
        <w:spacing w:after="120"/>
        <w:contextualSpacing w:val="0"/>
        <w:rPr>
          <w:sz w:val="22"/>
          <w:szCs w:val="22"/>
        </w:rPr>
      </w:pPr>
      <w:r w:rsidRPr="003916F1">
        <w:rPr>
          <w:sz w:val="22"/>
          <w:szCs w:val="22"/>
        </w:rPr>
        <w:t>EU 014</w:t>
      </w:r>
      <w:r w:rsidR="00B040BB" w:rsidRPr="003916F1">
        <w:rPr>
          <w:sz w:val="22"/>
          <w:szCs w:val="22"/>
        </w:rPr>
        <w:t xml:space="preserve">, </w:t>
      </w:r>
      <w:r w:rsidRPr="003916F1">
        <w:rPr>
          <w:sz w:val="22"/>
          <w:szCs w:val="22"/>
        </w:rPr>
        <w:t xml:space="preserve">EU 019 and EU 020 shall be tested for </w:t>
      </w:r>
      <w:r w:rsidR="001D4979" w:rsidRPr="003916F1">
        <w:rPr>
          <w:sz w:val="22"/>
          <w:szCs w:val="22"/>
        </w:rPr>
        <w:t>VO</w:t>
      </w:r>
      <w:r w:rsidR="007A3359" w:rsidRPr="003916F1">
        <w:rPr>
          <w:sz w:val="22"/>
          <w:szCs w:val="22"/>
        </w:rPr>
        <w:t>C</w:t>
      </w:r>
      <w:r w:rsidRPr="003916F1">
        <w:rPr>
          <w:sz w:val="22"/>
          <w:szCs w:val="22"/>
        </w:rPr>
        <w:t xml:space="preserve"> </w:t>
      </w:r>
      <w:r w:rsidR="001D4979" w:rsidRPr="003916F1">
        <w:rPr>
          <w:sz w:val="22"/>
          <w:szCs w:val="22"/>
        </w:rPr>
        <w:t xml:space="preserve">emissions.  </w:t>
      </w:r>
      <w:r w:rsidR="00634CF0" w:rsidRPr="003916F1">
        <w:rPr>
          <w:sz w:val="22"/>
          <w:szCs w:val="22"/>
        </w:rPr>
        <w:t>The combined VOC emissions from the Emissions Units shall be determined at the scrubber system exhaust stack.</w:t>
      </w:r>
    </w:p>
    <w:p w14:paraId="6CABD75C" w14:textId="36CD7774" w:rsidR="001D4979" w:rsidRPr="003916F1" w:rsidRDefault="00C07ED1" w:rsidP="00E5288F">
      <w:pPr>
        <w:pStyle w:val="ListParagraph"/>
        <w:numPr>
          <w:ilvl w:val="0"/>
          <w:numId w:val="13"/>
        </w:numPr>
        <w:autoSpaceDE w:val="0"/>
        <w:autoSpaceDN w:val="0"/>
        <w:adjustRightInd w:val="0"/>
        <w:spacing w:after="120"/>
        <w:contextualSpacing w:val="0"/>
        <w:rPr>
          <w:sz w:val="22"/>
          <w:szCs w:val="22"/>
        </w:rPr>
      </w:pPr>
      <w:r w:rsidRPr="003916F1">
        <w:rPr>
          <w:sz w:val="22"/>
          <w:szCs w:val="22"/>
        </w:rPr>
        <w:t xml:space="preserve">The combined hourly potential VOC emissions for these EUs at the facility requested emission factors </w:t>
      </w:r>
      <w:r w:rsidR="00D26F63" w:rsidRPr="003916F1">
        <w:rPr>
          <w:sz w:val="22"/>
          <w:szCs w:val="22"/>
        </w:rPr>
        <w:t>and 90% of the stated EU production capacities (testing capacity) is either 2.50 lb/hr</w:t>
      </w:r>
      <w:r w:rsidR="00D26F63" w:rsidRPr="003916F1">
        <w:rPr>
          <w:b/>
          <w:sz w:val="22"/>
          <w:szCs w:val="22"/>
          <w:vertAlign w:val="superscript"/>
        </w:rPr>
        <w:t xml:space="preserve"> </w:t>
      </w:r>
      <w:r w:rsidR="00D26F63" w:rsidRPr="003916F1">
        <w:rPr>
          <w:sz w:val="22"/>
          <w:szCs w:val="22"/>
        </w:rPr>
        <w:t xml:space="preserve">or 2.21 lb/hr </w:t>
      </w:r>
      <w:r w:rsidRPr="003916F1">
        <w:rPr>
          <w:sz w:val="22"/>
          <w:szCs w:val="22"/>
        </w:rPr>
        <w:t xml:space="preserve">using EU 020 finished feather meal production capacity or the blood meal production capacity, respectively.  </w:t>
      </w:r>
      <w:r w:rsidRPr="003916F1">
        <w:rPr>
          <w:b/>
          <w:sz w:val="22"/>
          <w:szCs w:val="22"/>
          <w:vertAlign w:val="superscript"/>
        </w:rPr>
        <w:t xml:space="preserve"> </w:t>
      </w:r>
      <w:r w:rsidR="001D4979" w:rsidRPr="003916F1">
        <w:rPr>
          <w:sz w:val="22"/>
          <w:szCs w:val="22"/>
        </w:rPr>
        <w:t xml:space="preserve">If the test </w:t>
      </w:r>
      <w:r w:rsidRPr="003916F1">
        <w:rPr>
          <w:sz w:val="22"/>
          <w:szCs w:val="22"/>
        </w:rPr>
        <w:t xml:space="preserve">results, on an hourly basis, are less </w:t>
      </w:r>
      <w:r w:rsidR="001D4979" w:rsidRPr="003916F1">
        <w:rPr>
          <w:sz w:val="22"/>
          <w:szCs w:val="22"/>
        </w:rPr>
        <w:t xml:space="preserve">than or equal to the </w:t>
      </w:r>
      <w:r w:rsidRPr="003916F1">
        <w:rPr>
          <w:sz w:val="22"/>
          <w:szCs w:val="22"/>
        </w:rPr>
        <w:t>combined hourly potential VOC emissions</w:t>
      </w:r>
      <w:r w:rsidR="001D4979" w:rsidRPr="003916F1">
        <w:rPr>
          <w:sz w:val="22"/>
          <w:szCs w:val="22"/>
        </w:rPr>
        <w:t xml:space="preserve">, the applicant shall compute and report annual emissions based on the emission factors </w:t>
      </w:r>
      <w:r w:rsidRPr="003916F1">
        <w:rPr>
          <w:sz w:val="22"/>
          <w:szCs w:val="22"/>
        </w:rPr>
        <w:t>submitted in the construction permit application</w:t>
      </w:r>
      <w:r w:rsidR="001D4979" w:rsidRPr="003916F1">
        <w:rPr>
          <w:sz w:val="22"/>
          <w:szCs w:val="22"/>
        </w:rPr>
        <w:t xml:space="preserve">, and </w:t>
      </w:r>
      <w:r w:rsidR="007B7DA3" w:rsidRPr="003916F1">
        <w:rPr>
          <w:sz w:val="22"/>
          <w:szCs w:val="22"/>
        </w:rPr>
        <w:t xml:space="preserve">the </w:t>
      </w:r>
      <w:r w:rsidR="001D4979" w:rsidRPr="003916F1">
        <w:rPr>
          <w:sz w:val="22"/>
          <w:szCs w:val="22"/>
        </w:rPr>
        <w:t>actual production of EU 014, EU 019, and EU 020.</w:t>
      </w:r>
    </w:p>
    <w:p w14:paraId="56676272" w14:textId="16640D67" w:rsidR="004C7730" w:rsidRPr="003916F1" w:rsidRDefault="001D4979" w:rsidP="00370ADC">
      <w:pPr>
        <w:pStyle w:val="ListParagraph"/>
        <w:numPr>
          <w:ilvl w:val="0"/>
          <w:numId w:val="13"/>
        </w:numPr>
        <w:autoSpaceDE w:val="0"/>
        <w:autoSpaceDN w:val="0"/>
        <w:adjustRightInd w:val="0"/>
        <w:spacing w:after="120"/>
        <w:contextualSpacing w:val="0"/>
        <w:rPr>
          <w:sz w:val="22"/>
          <w:szCs w:val="22"/>
        </w:rPr>
      </w:pPr>
      <w:r w:rsidRPr="003916F1">
        <w:rPr>
          <w:sz w:val="22"/>
          <w:szCs w:val="22"/>
        </w:rPr>
        <w:t>If the test result</w:t>
      </w:r>
      <w:r w:rsidR="00C07ED1" w:rsidRPr="003916F1">
        <w:rPr>
          <w:sz w:val="22"/>
          <w:szCs w:val="22"/>
        </w:rPr>
        <w:t xml:space="preserve">s, on an hourly basis, are greater </w:t>
      </w:r>
      <w:r w:rsidRPr="003916F1">
        <w:rPr>
          <w:sz w:val="22"/>
          <w:szCs w:val="22"/>
        </w:rPr>
        <w:t xml:space="preserve">than the </w:t>
      </w:r>
      <w:r w:rsidR="00C07ED1" w:rsidRPr="003916F1">
        <w:rPr>
          <w:sz w:val="22"/>
          <w:szCs w:val="22"/>
        </w:rPr>
        <w:t>combined hourly potential VOC emissions</w:t>
      </w:r>
      <w:r w:rsidRPr="003916F1">
        <w:rPr>
          <w:sz w:val="22"/>
          <w:szCs w:val="22"/>
        </w:rPr>
        <w:t xml:space="preserve">, </w:t>
      </w:r>
      <w:r w:rsidR="00C07ED1" w:rsidRPr="003916F1">
        <w:rPr>
          <w:sz w:val="22"/>
          <w:szCs w:val="22"/>
        </w:rPr>
        <w:t>the facility shall rea</w:t>
      </w:r>
      <w:r w:rsidR="00D26F63" w:rsidRPr="003916F1">
        <w:rPr>
          <w:sz w:val="22"/>
          <w:szCs w:val="22"/>
        </w:rPr>
        <w:t>ss</w:t>
      </w:r>
      <w:r w:rsidR="00C07ED1" w:rsidRPr="003916F1">
        <w:rPr>
          <w:sz w:val="22"/>
          <w:szCs w:val="22"/>
        </w:rPr>
        <w:t xml:space="preserve">ess the potential VOC emissions for EU 014, EU 019, and EU 020 using the test results.  </w:t>
      </w:r>
    </w:p>
    <w:p w14:paraId="4BADFC19" w14:textId="05BDE00B" w:rsidR="00D074C4" w:rsidRDefault="007E4514" w:rsidP="0063122F">
      <w:pPr>
        <w:autoSpaceDE w:val="0"/>
        <w:autoSpaceDN w:val="0"/>
        <w:adjustRightInd w:val="0"/>
        <w:spacing w:after="120"/>
        <w:rPr>
          <w:sz w:val="22"/>
          <w:szCs w:val="22"/>
        </w:rPr>
      </w:pPr>
      <w:r w:rsidRPr="003916F1">
        <w:rPr>
          <w:sz w:val="22"/>
          <w:szCs w:val="22"/>
        </w:rPr>
        <w:t>The applicant re-determined potential PM/PM</w:t>
      </w:r>
      <w:r w:rsidRPr="003916F1">
        <w:rPr>
          <w:sz w:val="22"/>
          <w:szCs w:val="22"/>
          <w:vertAlign w:val="subscript"/>
        </w:rPr>
        <w:t>10</w:t>
      </w:r>
      <w:r w:rsidRPr="003916F1">
        <w:rPr>
          <w:sz w:val="22"/>
          <w:szCs w:val="22"/>
        </w:rPr>
        <w:t>/PM</w:t>
      </w:r>
      <w:r w:rsidRPr="003916F1">
        <w:rPr>
          <w:sz w:val="22"/>
          <w:szCs w:val="22"/>
          <w:vertAlign w:val="subscript"/>
        </w:rPr>
        <w:t xml:space="preserve">2.5 </w:t>
      </w:r>
      <w:r w:rsidRPr="003916F1">
        <w:rPr>
          <w:sz w:val="22"/>
          <w:szCs w:val="22"/>
        </w:rPr>
        <w:t xml:space="preserve">emissions for the Inedible Animal By-products Protein Conversion Process Line #1 (EU 014), the Inedible Animal By-products Protein Conversion Process Line #3 (EU 019), and the newly identified </w:t>
      </w:r>
      <w:r w:rsidR="00B45528" w:rsidRPr="003916F1">
        <w:rPr>
          <w:bCs/>
          <w:sz w:val="22"/>
          <w:szCs w:val="22"/>
        </w:rPr>
        <w:t>Feather Protein Conversion Process Line</w:t>
      </w:r>
      <w:r w:rsidR="00B45528" w:rsidRPr="003916F1">
        <w:rPr>
          <w:sz w:val="22"/>
          <w:szCs w:val="22"/>
        </w:rPr>
        <w:t xml:space="preserve"> </w:t>
      </w:r>
      <w:r w:rsidRPr="003916F1">
        <w:rPr>
          <w:sz w:val="22"/>
          <w:szCs w:val="22"/>
        </w:rPr>
        <w:t>(EU 020) based on emission factors determined from particulate matter testing conducted at other Griffin facilities.</w:t>
      </w:r>
      <w:r w:rsidRPr="00D074C4">
        <w:rPr>
          <w:sz w:val="22"/>
          <w:szCs w:val="22"/>
        </w:rPr>
        <w:t xml:space="preserve">    </w:t>
      </w:r>
    </w:p>
    <w:p w14:paraId="0F53351E" w14:textId="6CAD3B06" w:rsidR="00D074C4" w:rsidRPr="00D074C4" w:rsidRDefault="00EE0F1E" w:rsidP="00D074C4">
      <w:pPr>
        <w:pStyle w:val="ListParagraph"/>
        <w:numPr>
          <w:ilvl w:val="0"/>
          <w:numId w:val="19"/>
        </w:numPr>
        <w:autoSpaceDE w:val="0"/>
        <w:autoSpaceDN w:val="0"/>
        <w:adjustRightInd w:val="0"/>
        <w:spacing w:after="120"/>
        <w:ind w:left="720"/>
        <w:rPr>
          <w:sz w:val="22"/>
          <w:szCs w:val="22"/>
        </w:rPr>
      </w:pPr>
      <w:r w:rsidRPr="00D074C4">
        <w:rPr>
          <w:sz w:val="22"/>
          <w:szCs w:val="22"/>
        </w:rPr>
        <w:t>P</w:t>
      </w:r>
      <w:r w:rsidR="007E4514" w:rsidRPr="00D074C4">
        <w:rPr>
          <w:sz w:val="22"/>
          <w:szCs w:val="22"/>
        </w:rPr>
        <w:t xml:space="preserve">erformance testing for this pollutant </w:t>
      </w:r>
      <w:r w:rsidRPr="00D074C4">
        <w:rPr>
          <w:sz w:val="22"/>
          <w:szCs w:val="22"/>
        </w:rPr>
        <w:t xml:space="preserve">is not being requested </w:t>
      </w:r>
      <w:r w:rsidR="007E4514" w:rsidRPr="00D074C4">
        <w:rPr>
          <w:sz w:val="22"/>
          <w:szCs w:val="22"/>
        </w:rPr>
        <w:t>since the facility-wide potential particulate matter emissions</w:t>
      </w:r>
      <w:r w:rsidR="005522D1" w:rsidRPr="00D074C4">
        <w:rPr>
          <w:sz w:val="22"/>
          <w:szCs w:val="22"/>
        </w:rPr>
        <w:t xml:space="preserve">, with the change in emission factors used to calculate particulate matter emissions from these emissions units, does not bring the facility </w:t>
      </w:r>
      <w:r w:rsidR="007E4514" w:rsidRPr="00D074C4">
        <w:rPr>
          <w:sz w:val="22"/>
          <w:szCs w:val="22"/>
        </w:rPr>
        <w:t>close to a PSD Major Source applicability threshold</w:t>
      </w:r>
      <w:r w:rsidR="00234A65" w:rsidRPr="00D074C4">
        <w:rPr>
          <w:sz w:val="22"/>
          <w:szCs w:val="22"/>
        </w:rPr>
        <w:t xml:space="preserve"> for particulate matter emissions</w:t>
      </w:r>
      <w:r w:rsidR="007E4514" w:rsidRPr="00D074C4">
        <w:rPr>
          <w:sz w:val="22"/>
          <w:szCs w:val="22"/>
        </w:rPr>
        <w:t>.</w:t>
      </w:r>
      <w:r w:rsidR="00D074C4" w:rsidRPr="00D074C4">
        <w:rPr>
          <w:sz w:val="22"/>
          <w:szCs w:val="22"/>
        </w:rPr>
        <w:t xml:space="preserve"> </w:t>
      </w:r>
    </w:p>
    <w:p w14:paraId="613E1ED2" w14:textId="79A4D510" w:rsidR="007E4514" w:rsidRDefault="007E4514" w:rsidP="007E4514">
      <w:pPr>
        <w:autoSpaceDE w:val="0"/>
        <w:autoSpaceDN w:val="0"/>
        <w:adjustRightInd w:val="0"/>
        <w:spacing w:after="120"/>
        <w:rPr>
          <w:sz w:val="22"/>
          <w:szCs w:val="22"/>
        </w:rPr>
      </w:pPr>
    </w:p>
    <w:p w14:paraId="375762E9" w14:textId="4A2CC15F" w:rsidR="007113DE" w:rsidRPr="003C40AC" w:rsidRDefault="007113DE" w:rsidP="007113DE">
      <w:pPr>
        <w:pStyle w:val="ListParagraph"/>
        <w:numPr>
          <w:ilvl w:val="0"/>
          <w:numId w:val="18"/>
        </w:numPr>
        <w:spacing w:before="240" w:after="120"/>
        <w:ind w:left="360"/>
        <w:contextualSpacing w:val="0"/>
        <w:rPr>
          <w:b/>
          <w:caps/>
          <w:sz w:val="24"/>
          <w:szCs w:val="24"/>
        </w:rPr>
      </w:pPr>
      <w:r w:rsidRPr="003C40AC">
        <w:rPr>
          <w:b/>
          <w:caps/>
          <w:sz w:val="24"/>
          <w:szCs w:val="24"/>
        </w:rPr>
        <w:t xml:space="preserve">Applicant </w:t>
      </w:r>
      <w:r w:rsidR="00F3036C" w:rsidRPr="003C40AC">
        <w:rPr>
          <w:b/>
          <w:caps/>
          <w:sz w:val="24"/>
          <w:szCs w:val="24"/>
        </w:rPr>
        <w:t xml:space="preserve">formal </w:t>
      </w:r>
      <w:r w:rsidRPr="003C40AC">
        <w:rPr>
          <w:b/>
          <w:caps/>
          <w:sz w:val="24"/>
          <w:szCs w:val="24"/>
        </w:rPr>
        <w:t>Enforcement history</w:t>
      </w:r>
    </w:p>
    <w:p w14:paraId="5F00A8C4" w14:textId="79C9E994" w:rsidR="007113DE" w:rsidRDefault="007113DE" w:rsidP="007113DE">
      <w:pPr>
        <w:autoSpaceDE w:val="0"/>
        <w:autoSpaceDN w:val="0"/>
        <w:adjustRightInd w:val="0"/>
        <w:spacing w:after="120"/>
        <w:rPr>
          <w:sz w:val="22"/>
          <w:szCs w:val="22"/>
        </w:rPr>
      </w:pPr>
      <w:r w:rsidRPr="00DE2FD1">
        <w:rPr>
          <w:sz w:val="22"/>
          <w:szCs w:val="22"/>
        </w:rPr>
        <w:t>It is the interpretation of the Department that the request and review of an applicant’s enforcement history is an inherent part of the Reasonable Assurance Rule, 62-4.070(1-5), F.A.C.; Environmental Resource Permitting Rule, 62-330.301, F.A.C.; and the Coastal Construction and Excavation Rule, 62B-33.005(4), F.A.C.</w:t>
      </w:r>
      <w:r>
        <w:rPr>
          <w:sz w:val="22"/>
          <w:szCs w:val="22"/>
        </w:rPr>
        <w:t xml:space="preserve">  The enforcement history should be non-program specific (i.e. include enforcement for all programs regardless of the program the permit application is for), include enforcement of federal regulations, Departme</w:t>
      </w:r>
      <w:r w:rsidR="007D32A8">
        <w:rPr>
          <w:sz w:val="22"/>
          <w:szCs w:val="22"/>
        </w:rPr>
        <w:t>nt</w:t>
      </w:r>
      <w:r>
        <w:rPr>
          <w:sz w:val="22"/>
          <w:szCs w:val="22"/>
        </w:rPr>
        <w:t xml:space="preserve"> and delegated local program or agency rules, statues or orders, and include reportable spills and releases as well as formal enforcement.  The period history shall be a period of previous 5 years.</w:t>
      </w:r>
    </w:p>
    <w:p w14:paraId="0A0D7EA2" w14:textId="77777777" w:rsidR="00B55CC4" w:rsidRDefault="00B55CC4">
      <w:pPr>
        <w:rPr>
          <w:b/>
          <w:sz w:val="22"/>
          <w:szCs w:val="22"/>
        </w:rPr>
      </w:pPr>
      <w:r>
        <w:rPr>
          <w:b/>
          <w:sz w:val="22"/>
          <w:szCs w:val="22"/>
        </w:rPr>
        <w:br w:type="page"/>
      </w:r>
    </w:p>
    <w:p w14:paraId="03CB2DA4" w14:textId="0C53E88F" w:rsidR="00F628CC" w:rsidRPr="00F628CC" w:rsidRDefault="00F628CC" w:rsidP="007113DE">
      <w:pPr>
        <w:autoSpaceDE w:val="0"/>
        <w:autoSpaceDN w:val="0"/>
        <w:adjustRightInd w:val="0"/>
        <w:spacing w:after="120"/>
        <w:rPr>
          <w:b/>
          <w:sz w:val="22"/>
          <w:szCs w:val="22"/>
        </w:rPr>
      </w:pPr>
      <w:r w:rsidRPr="00F628CC">
        <w:rPr>
          <w:b/>
          <w:sz w:val="22"/>
          <w:szCs w:val="22"/>
        </w:rPr>
        <w:lastRenderedPageBreak/>
        <w:t>Hampton Facility:</w:t>
      </w:r>
    </w:p>
    <w:p w14:paraId="0C391C99" w14:textId="114267F7" w:rsidR="007113DE" w:rsidRPr="00F628CC" w:rsidRDefault="007113DE" w:rsidP="007113DE">
      <w:pPr>
        <w:pStyle w:val="ListParagraph"/>
        <w:numPr>
          <w:ilvl w:val="0"/>
          <w:numId w:val="5"/>
        </w:numPr>
        <w:spacing w:before="120" w:after="120"/>
        <w:contextualSpacing w:val="0"/>
        <w:rPr>
          <w:b/>
          <w:caps/>
          <w:sz w:val="22"/>
          <w:szCs w:val="22"/>
        </w:rPr>
      </w:pPr>
      <w:r w:rsidRPr="00BB5E77">
        <w:rPr>
          <w:sz w:val="22"/>
          <w:szCs w:val="22"/>
        </w:rPr>
        <w:t xml:space="preserve">As of November 4, 2015, there </w:t>
      </w:r>
      <w:r w:rsidR="00F628CC">
        <w:rPr>
          <w:sz w:val="22"/>
          <w:szCs w:val="22"/>
        </w:rPr>
        <w:t>were</w:t>
      </w:r>
      <w:r w:rsidRPr="00BB5E77">
        <w:rPr>
          <w:sz w:val="22"/>
          <w:szCs w:val="22"/>
        </w:rPr>
        <w:t xml:space="preserve"> no out-of-compliance issues found in </w:t>
      </w:r>
      <w:r w:rsidR="00F628CC">
        <w:rPr>
          <w:sz w:val="22"/>
          <w:szCs w:val="22"/>
        </w:rPr>
        <w:t xml:space="preserve">the </w:t>
      </w:r>
      <w:r w:rsidRPr="00BB5E77">
        <w:rPr>
          <w:sz w:val="22"/>
          <w:szCs w:val="22"/>
        </w:rPr>
        <w:t>E</w:t>
      </w:r>
      <w:r w:rsidR="00F628CC">
        <w:rPr>
          <w:sz w:val="22"/>
          <w:szCs w:val="22"/>
        </w:rPr>
        <w:t xml:space="preserve">nvironmental Resource Permitting </w:t>
      </w:r>
      <w:r w:rsidRPr="00BB5E77">
        <w:rPr>
          <w:sz w:val="22"/>
          <w:szCs w:val="22"/>
        </w:rPr>
        <w:t>database</w:t>
      </w:r>
    </w:p>
    <w:p w14:paraId="35C185E5" w14:textId="77777777" w:rsidR="002921E0" w:rsidRPr="00B36360" w:rsidRDefault="002921E0" w:rsidP="002921E0">
      <w:pPr>
        <w:pStyle w:val="ListParagraph"/>
        <w:numPr>
          <w:ilvl w:val="0"/>
          <w:numId w:val="5"/>
        </w:numPr>
        <w:autoSpaceDE w:val="0"/>
        <w:autoSpaceDN w:val="0"/>
        <w:adjustRightInd w:val="0"/>
        <w:spacing w:after="120"/>
        <w:contextualSpacing w:val="0"/>
        <w:rPr>
          <w:b/>
          <w:caps/>
          <w:sz w:val="22"/>
          <w:szCs w:val="22"/>
        </w:rPr>
      </w:pPr>
      <w:r w:rsidRPr="00B36360">
        <w:rPr>
          <w:sz w:val="22"/>
          <w:szCs w:val="22"/>
        </w:rPr>
        <w:t xml:space="preserve">As of November </w:t>
      </w:r>
      <w:r>
        <w:rPr>
          <w:sz w:val="22"/>
          <w:szCs w:val="22"/>
        </w:rPr>
        <w:t>4</w:t>
      </w:r>
      <w:r w:rsidRPr="00B36360">
        <w:rPr>
          <w:sz w:val="22"/>
          <w:szCs w:val="22"/>
        </w:rPr>
        <w:t xml:space="preserve">, 2015, there is a noted a violation of </w:t>
      </w:r>
      <w:r>
        <w:rPr>
          <w:sz w:val="22"/>
          <w:szCs w:val="22"/>
        </w:rPr>
        <w:t xml:space="preserve">a </w:t>
      </w:r>
      <w:r w:rsidRPr="00B36360">
        <w:rPr>
          <w:sz w:val="22"/>
          <w:szCs w:val="22"/>
        </w:rPr>
        <w:t>permit condition for the Air Program</w:t>
      </w:r>
      <w:r>
        <w:rPr>
          <w:sz w:val="22"/>
          <w:szCs w:val="22"/>
        </w:rPr>
        <w:t>:</w:t>
      </w:r>
      <w:r w:rsidRPr="00B36360">
        <w:rPr>
          <w:sz w:val="22"/>
          <w:szCs w:val="22"/>
        </w:rPr>
        <w:t xml:space="preserve"> </w:t>
      </w:r>
    </w:p>
    <w:p w14:paraId="5C3A65DA" w14:textId="77777777" w:rsidR="002921E0" w:rsidRPr="00B36360" w:rsidRDefault="002921E0" w:rsidP="002921E0">
      <w:pPr>
        <w:pStyle w:val="ListParagraph"/>
        <w:numPr>
          <w:ilvl w:val="1"/>
          <w:numId w:val="5"/>
        </w:numPr>
        <w:autoSpaceDE w:val="0"/>
        <w:autoSpaceDN w:val="0"/>
        <w:adjustRightInd w:val="0"/>
        <w:rPr>
          <w:b/>
          <w:caps/>
          <w:sz w:val="22"/>
          <w:szCs w:val="22"/>
        </w:rPr>
      </w:pPr>
      <w:r>
        <w:rPr>
          <w:sz w:val="22"/>
          <w:szCs w:val="22"/>
        </w:rPr>
        <w:t xml:space="preserve">05/22/15, </w:t>
      </w:r>
      <w:r w:rsidRPr="00B36360">
        <w:rPr>
          <w:sz w:val="22"/>
          <w:szCs w:val="22"/>
        </w:rPr>
        <w:t>Emissions Unit 016, SPN Secondary Protein Nutrient (SPN) Fines Solvent Extraction Process.</w:t>
      </w:r>
      <w:r>
        <w:rPr>
          <w:sz w:val="22"/>
          <w:szCs w:val="22"/>
        </w:rPr>
        <w:t xml:space="preserve"> </w:t>
      </w:r>
      <w:r w:rsidRPr="00B36360">
        <w:rPr>
          <w:sz w:val="22"/>
          <w:szCs w:val="22"/>
        </w:rPr>
        <w:t>Warning Letter Issued 09/28/2015</w:t>
      </w:r>
      <w:r>
        <w:rPr>
          <w:sz w:val="22"/>
          <w:szCs w:val="22"/>
        </w:rPr>
        <w:t>.</w:t>
      </w:r>
    </w:p>
    <w:p w14:paraId="2377F122" w14:textId="5719210B" w:rsidR="00F628CC" w:rsidRPr="00F628CC" w:rsidRDefault="00F628CC" w:rsidP="00F628CC">
      <w:pPr>
        <w:pStyle w:val="ListParagraph"/>
        <w:numPr>
          <w:ilvl w:val="0"/>
          <w:numId w:val="5"/>
        </w:numPr>
        <w:spacing w:before="120" w:after="120"/>
        <w:contextualSpacing w:val="0"/>
        <w:rPr>
          <w:b/>
          <w:caps/>
          <w:sz w:val="22"/>
          <w:szCs w:val="22"/>
        </w:rPr>
      </w:pPr>
      <w:r w:rsidRPr="00BB5E77">
        <w:rPr>
          <w:sz w:val="22"/>
          <w:szCs w:val="22"/>
        </w:rPr>
        <w:t xml:space="preserve">As of November </w:t>
      </w:r>
      <w:r>
        <w:rPr>
          <w:sz w:val="22"/>
          <w:szCs w:val="22"/>
        </w:rPr>
        <w:t>5</w:t>
      </w:r>
      <w:r w:rsidRPr="00BB5E77">
        <w:rPr>
          <w:sz w:val="22"/>
          <w:szCs w:val="22"/>
        </w:rPr>
        <w:t xml:space="preserve">, 2015, there </w:t>
      </w:r>
      <w:r>
        <w:rPr>
          <w:sz w:val="22"/>
          <w:szCs w:val="22"/>
        </w:rPr>
        <w:t>were</w:t>
      </w:r>
      <w:r w:rsidRPr="00BB5E77">
        <w:rPr>
          <w:sz w:val="22"/>
          <w:szCs w:val="22"/>
        </w:rPr>
        <w:t xml:space="preserve"> no </w:t>
      </w:r>
      <w:r>
        <w:rPr>
          <w:sz w:val="22"/>
          <w:szCs w:val="22"/>
        </w:rPr>
        <w:t>formal enforcement cases</w:t>
      </w:r>
      <w:r w:rsidRPr="00BB5E77">
        <w:rPr>
          <w:sz w:val="22"/>
          <w:szCs w:val="22"/>
        </w:rPr>
        <w:t xml:space="preserve"> found in </w:t>
      </w:r>
      <w:r>
        <w:rPr>
          <w:sz w:val="22"/>
          <w:szCs w:val="22"/>
        </w:rPr>
        <w:t>Stormwater</w:t>
      </w:r>
      <w:r w:rsidRPr="00BB5E77">
        <w:rPr>
          <w:sz w:val="22"/>
          <w:szCs w:val="22"/>
        </w:rPr>
        <w:t xml:space="preserve"> database</w:t>
      </w:r>
    </w:p>
    <w:p w14:paraId="5F3E13B3" w14:textId="69936D53" w:rsidR="000576DF" w:rsidRPr="000576DF" w:rsidRDefault="000576DF" w:rsidP="00D4129D">
      <w:pPr>
        <w:pStyle w:val="ListParagraph"/>
        <w:numPr>
          <w:ilvl w:val="0"/>
          <w:numId w:val="5"/>
        </w:numPr>
        <w:spacing w:after="120"/>
        <w:contextualSpacing w:val="0"/>
        <w:rPr>
          <w:sz w:val="22"/>
          <w:szCs w:val="22"/>
        </w:rPr>
      </w:pPr>
      <w:r w:rsidRPr="000576DF">
        <w:rPr>
          <w:sz w:val="22"/>
          <w:szCs w:val="22"/>
        </w:rPr>
        <w:t>As of November 5, 2015, the facility has an IW wastewater permit, FLA011341, with one wastewater enforcement issue since 2010.  LFCO 10-2783 was executed on 01/14/11.</w:t>
      </w:r>
    </w:p>
    <w:p w14:paraId="4CC26E6B" w14:textId="77777777" w:rsidR="00D4129D" w:rsidRPr="00E71DDE" w:rsidRDefault="00D4129D" w:rsidP="00D4129D">
      <w:pPr>
        <w:pStyle w:val="ListParagraph"/>
        <w:numPr>
          <w:ilvl w:val="0"/>
          <w:numId w:val="5"/>
        </w:numPr>
        <w:spacing w:after="120"/>
        <w:contextualSpacing w:val="0"/>
        <w:rPr>
          <w:sz w:val="22"/>
          <w:szCs w:val="22"/>
        </w:rPr>
      </w:pPr>
      <w:r>
        <w:rPr>
          <w:sz w:val="22"/>
          <w:szCs w:val="22"/>
        </w:rPr>
        <w:t>As of November 5, 2015, there has been no formal enforcement for the Tanks program for this facility for the past 5 years.</w:t>
      </w:r>
    </w:p>
    <w:p w14:paraId="333C5542" w14:textId="77777777" w:rsidR="00C522A9" w:rsidRPr="00C656C2" w:rsidRDefault="00C522A9" w:rsidP="00C522A9">
      <w:pPr>
        <w:pStyle w:val="ListParagraph"/>
        <w:numPr>
          <w:ilvl w:val="0"/>
          <w:numId w:val="5"/>
        </w:numPr>
        <w:spacing w:before="120" w:after="120"/>
        <w:contextualSpacing w:val="0"/>
        <w:rPr>
          <w:b/>
          <w:caps/>
          <w:sz w:val="22"/>
          <w:szCs w:val="22"/>
        </w:rPr>
      </w:pPr>
      <w:r w:rsidRPr="00C656C2">
        <w:rPr>
          <w:sz w:val="22"/>
          <w:szCs w:val="22"/>
        </w:rPr>
        <w:t>As of November 10, 2015, not a PWS based on address or name</w:t>
      </w:r>
    </w:p>
    <w:p w14:paraId="2C9FA590" w14:textId="77777777" w:rsidR="00C522A9" w:rsidRPr="00C656C2" w:rsidRDefault="00C522A9" w:rsidP="00C522A9">
      <w:pPr>
        <w:pStyle w:val="ListParagraph"/>
        <w:numPr>
          <w:ilvl w:val="0"/>
          <w:numId w:val="5"/>
        </w:numPr>
        <w:spacing w:before="120" w:after="120"/>
        <w:contextualSpacing w:val="0"/>
        <w:rPr>
          <w:b/>
          <w:caps/>
          <w:sz w:val="22"/>
          <w:szCs w:val="22"/>
        </w:rPr>
      </w:pPr>
      <w:r w:rsidRPr="00C656C2">
        <w:rPr>
          <w:sz w:val="22"/>
          <w:szCs w:val="22"/>
        </w:rPr>
        <w:t>As of November 10, 2015, no solid waste non-compliance issue with in the past 5 years</w:t>
      </w:r>
    </w:p>
    <w:p w14:paraId="7C92CE65" w14:textId="77777777" w:rsidR="000C3F47" w:rsidRPr="00E816F6" w:rsidRDefault="000C3F47" w:rsidP="000C3F47">
      <w:pPr>
        <w:pStyle w:val="ListParagraph"/>
        <w:numPr>
          <w:ilvl w:val="0"/>
          <w:numId w:val="5"/>
        </w:numPr>
        <w:autoSpaceDE w:val="0"/>
        <w:autoSpaceDN w:val="0"/>
        <w:adjustRightInd w:val="0"/>
        <w:spacing w:before="120" w:after="120"/>
        <w:contextualSpacing w:val="0"/>
        <w:rPr>
          <w:sz w:val="22"/>
          <w:szCs w:val="22"/>
        </w:rPr>
      </w:pPr>
      <w:r w:rsidRPr="00E816F6">
        <w:rPr>
          <w:sz w:val="22"/>
          <w:szCs w:val="22"/>
        </w:rPr>
        <w:t>As of November 12, 2015, there were no formal enforcement actions for this facility in the Hazardous Waste Program for this the past 5 years</w:t>
      </w:r>
    </w:p>
    <w:p w14:paraId="2158398E" w14:textId="77777777" w:rsidR="007113DE" w:rsidRPr="007E4514" w:rsidRDefault="007113DE" w:rsidP="007113DE">
      <w:pPr>
        <w:autoSpaceDE w:val="0"/>
        <w:autoSpaceDN w:val="0"/>
        <w:adjustRightInd w:val="0"/>
        <w:spacing w:after="120"/>
        <w:rPr>
          <w:sz w:val="22"/>
          <w:szCs w:val="22"/>
        </w:rPr>
      </w:pPr>
    </w:p>
    <w:p w14:paraId="082D07E0" w14:textId="089C7871" w:rsidR="00193F10" w:rsidRPr="00771289" w:rsidRDefault="00193F10" w:rsidP="004C7730">
      <w:pPr>
        <w:pStyle w:val="ListParagraph"/>
        <w:numPr>
          <w:ilvl w:val="0"/>
          <w:numId w:val="18"/>
        </w:numPr>
        <w:spacing w:before="240" w:after="120"/>
        <w:ind w:left="360"/>
        <w:contextualSpacing w:val="0"/>
        <w:rPr>
          <w:b/>
          <w:caps/>
          <w:sz w:val="24"/>
          <w:szCs w:val="24"/>
        </w:rPr>
      </w:pPr>
      <w:r w:rsidRPr="00771289">
        <w:rPr>
          <w:b/>
          <w:caps/>
          <w:sz w:val="24"/>
          <w:szCs w:val="24"/>
        </w:rPr>
        <w:t>Preliminary Determination</w:t>
      </w:r>
    </w:p>
    <w:p w14:paraId="7C7BB0A4" w14:textId="7451F561" w:rsidR="00177CB2" w:rsidRDefault="00193F10" w:rsidP="00382219">
      <w:pPr>
        <w:spacing w:before="120" w:after="120"/>
        <w:rPr>
          <w:sz w:val="22"/>
          <w:szCs w:val="22"/>
        </w:rPr>
      </w:pPr>
      <w:r w:rsidRPr="00D41481">
        <w:rPr>
          <w:sz w:val="22"/>
          <w:szCs w:val="22"/>
        </w:rPr>
        <w:t xml:space="preserve">The Department makes a preliminary determination that the proposed project will comply with all applicable state and federal air pollution regulations as conditioned by the draft permit. This determination is based on a technical review of the complete application, reasonable assurances provided by the applicant, and the conditions specified in the draft permit. No air quality modeling analysis is required because the project does not result in a significant increase in emissions. </w:t>
      </w:r>
      <w:r w:rsidR="009E5039" w:rsidRPr="00D41481">
        <w:rPr>
          <w:sz w:val="22"/>
          <w:szCs w:val="22"/>
        </w:rPr>
        <w:t>Rita Felton-Smith</w:t>
      </w:r>
      <w:r w:rsidR="00EE40FF" w:rsidRPr="00D41481">
        <w:rPr>
          <w:sz w:val="22"/>
          <w:szCs w:val="22"/>
        </w:rPr>
        <w:t xml:space="preserve"> </w:t>
      </w:r>
      <w:r w:rsidRPr="00D41481">
        <w:rPr>
          <w:sz w:val="22"/>
          <w:szCs w:val="22"/>
        </w:rPr>
        <w:t xml:space="preserve">is the project engineer responsible for reviewing the application and drafting the permit.  Additional details of this analysis may be obtained by contacting the project engineer at the </w:t>
      </w:r>
      <w:r w:rsidR="00292004" w:rsidRPr="00D41481">
        <w:rPr>
          <w:sz w:val="22"/>
          <w:szCs w:val="22"/>
        </w:rPr>
        <w:t xml:space="preserve">Florida Department of Environmental Protection, Northeast District Office, </w:t>
      </w:r>
      <w:r w:rsidR="009E5039" w:rsidRPr="00D41481">
        <w:rPr>
          <w:sz w:val="22"/>
          <w:szCs w:val="22"/>
        </w:rPr>
        <w:t>8800</w:t>
      </w:r>
      <w:r w:rsidR="00292004" w:rsidRPr="00D41481">
        <w:rPr>
          <w:sz w:val="22"/>
          <w:szCs w:val="22"/>
        </w:rPr>
        <w:t xml:space="preserve"> Baymeadows Way</w:t>
      </w:r>
      <w:r w:rsidR="008D63D8">
        <w:rPr>
          <w:sz w:val="22"/>
          <w:szCs w:val="22"/>
        </w:rPr>
        <w:t xml:space="preserve"> West</w:t>
      </w:r>
      <w:r w:rsidR="00292004" w:rsidRPr="00D41481">
        <w:rPr>
          <w:sz w:val="22"/>
          <w:szCs w:val="22"/>
        </w:rPr>
        <w:t xml:space="preserve">, Suite </w:t>
      </w:r>
      <w:r w:rsidR="00A751A8" w:rsidRPr="00D41481">
        <w:rPr>
          <w:sz w:val="22"/>
          <w:szCs w:val="22"/>
        </w:rPr>
        <w:t>100</w:t>
      </w:r>
      <w:r w:rsidR="00292004" w:rsidRPr="00D41481">
        <w:rPr>
          <w:sz w:val="22"/>
          <w:szCs w:val="22"/>
        </w:rPr>
        <w:t>, Jacksonville, FL 32256, Phone: 904/</w:t>
      </w:r>
      <w:r w:rsidR="00DE439E" w:rsidRPr="00D41481">
        <w:rPr>
          <w:sz w:val="22"/>
          <w:szCs w:val="22"/>
        </w:rPr>
        <w:t>256-</w:t>
      </w:r>
      <w:r w:rsidR="009E5039" w:rsidRPr="00D41481">
        <w:rPr>
          <w:sz w:val="22"/>
          <w:szCs w:val="22"/>
        </w:rPr>
        <w:t>1700</w:t>
      </w:r>
      <w:r w:rsidR="00292004" w:rsidRPr="00D41481">
        <w:rPr>
          <w:sz w:val="22"/>
          <w:szCs w:val="22"/>
        </w:rPr>
        <w:t>.</w:t>
      </w:r>
    </w:p>
    <w:sectPr w:rsidR="00177CB2" w:rsidSect="0098654D">
      <w:headerReference w:type="even" r:id="rId31"/>
      <w:headerReference w:type="default" r:id="rId32"/>
      <w:footerReference w:type="default" r:id="rId33"/>
      <w:headerReference w:type="first" r:id="rId34"/>
      <w:footerReference w:type="first" r:id="rId35"/>
      <w:pgSz w:w="12240" w:h="15840" w:code="1"/>
      <w:pgMar w:top="720" w:right="1080" w:bottom="720" w:left="108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57B5A1" w14:textId="77777777" w:rsidR="00F20CB9" w:rsidRDefault="00F20CB9">
      <w:r>
        <w:separator/>
      </w:r>
    </w:p>
  </w:endnote>
  <w:endnote w:type="continuationSeparator" w:id="0">
    <w:p w14:paraId="7B66D18D" w14:textId="77777777" w:rsidR="00F20CB9" w:rsidRDefault="00F20C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E515F1" w14:textId="77777777" w:rsidR="00F20CB9" w:rsidRDefault="00F20CB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14:paraId="5987A32E" w14:textId="77777777" w:rsidR="00F20CB9" w:rsidRDefault="00F20CB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5ACC3C" w14:textId="77777777" w:rsidR="0088120C" w:rsidRDefault="0088120C">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CAE030" w14:textId="77777777" w:rsidR="0088120C" w:rsidRDefault="0088120C">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371163" w14:textId="77777777" w:rsidR="00F20CB9" w:rsidRPr="00FA298D" w:rsidRDefault="00F20CB9" w:rsidP="008775B1">
    <w:pPr>
      <w:pBdr>
        <w:top w:val="single" w:sz="8" w:space="1" w:color="auto"/>
      </w:pBdr>
      <w:tabs>
        <w:tab w:val="left" w:pos="5760"/>
      </w:tabs>
      <w:rPr>
        <w:rStyle w:val="PageNumber"/>
        <w:sz w:val="22"/>
        <w:szCs w:val="22"/>
      </w:rPr>
    </w:pPr>
    <w:r w:rsidRPr="00FA298D">
      <w:rPr>
        <w:sz w:val="22"/>
        <w:szCs w:val="22"/>
      </w:rPr>
      <w:t>Griffin Industries of Florida</w:t>
    </w:r>
    <w:r w:rsidRPr="00FA298D">
      <w:rPr>
        <w:rStyle w:val="PageNumber"/>
        <w:color w:val="FF0000"/>
        <w:sz w:val="22"/>
        <w:szCs w:val="22"/>
      </w:rPr>
      <w:tab/>
    </w:r>
    <w:r w:rsidRPr="00FA298D">
      <w:rPr>
        <w:rStyle w:val="PageNumber"/>
        <w:color w:val="FF0000"/>
        <w:sz w:val="22"/>
        <w:szCs w:val="22"/>
      </w:rPr>
      <w:tab/>
      <w:t xml:space="preserve"> </w:t>
    </w:r>
    <w:r w:rsidRPr="00FA298D">
      <w:rPr>
        <w:rStyle w:val="PageNumber"/>
        <w:sz w:val="22"/>
        <w:szCs w:val="22"/>
      </w:rPr>
      <w:t>Air Permit No. 0070004-025-AC</w:t>
    </w:r>
  </w:p>
  <w:p w14:paraId="40A2BB03" w14:textId="77777777" w:rsidR="00F20CB9" w:rsidRPr="00FA298D" w:rsidRDefault="00F20CB9" w:rsidP="008775B1">
    <w:pPr>
      <w:tabs>
        <w:tab w:val="left" w:pos="5040"/>
      </w:tabs>
      <w:rPr>
        <w:rStyle w:val="PageNumber"/>
        <w:sz w:val="22"/>
        <w:szCs w:val="22"/>
      </w:rPr>
    </w:pPr>
    <w:r w:rsidRPr="00FA298D">
      <w:rPr>
        <w:rStyle w:val="PageNumber"/>
        <w:sz w:val="22"/>
        <w:szCs w:val="22"/>
      </w:rPr>
      <w:t>Hampton Facility</w:t>
    </w:r>
    <w:r w:rsidRPr="00FA298D">
      <w:rPr>
        <w:rStyle w:val="PageNumber"/>
        <w:sz w:val="22"/>
        <w:szCs w:val="22"/>
      </w:rPr>
      <w:tab/>
    </w:r>
    <w:r w:rsidRPr="00FA298D">
      <w:rPr>
        <w:rStyle w:val="PageNumber"/>
        <w:sz w:val="22"/>
        <w:szCs w:val="22"/>
      </w:rPr>
      <w:tab/>
    </w:r>
    <w:r w:rsidRPr="00FA298D">
      <w:rPr>
        <w:rStyle w:val="PageNumber"/>
        <w:sz w:val="22"/>
        <w:szCs w:val="22"/>
      </w:rPr>
      <w:tab/>
    </w:r>
    <w:r w:rsidRPr="00FA298D">
      <w:rPr>
        <w:rStyle w:val="PageNumber"/>
        <w:sz w:val="22"/>
        <w:szCs w:val="22"/>
      </w:rPr>
      <w:tab/>
    </w:r>
  </w:p>
  <w:p w14:paraId="67E8A210" w14:textId="498A6781" w:rsidR="00F20CB9" w:rsidRDefault="00F20CB9" w:rsidP="005079ED">
    <w:pPr>
      <w:pStyle w:val="Footer"/>
      <w:jc w:val="center"/>
    </w:pPr>
    <w:r w:rsidRPr="00CE4C0E">
      <w:rPr>
        <w:sz w:val="18"/>
        <w:szCs w:val="18"/>
      </w:rPr>
      <w:t xml:space="preserve">Page </w:t>
    </w:r>
    <w:r w:rsidRPr="00CE4C0E">
      <w:rPr>
        <w:b/>
        <w:sz w:val="18"/>
        <w:szCs w:val="18"/>
      </w:rPr>
      <w:fldChar w:fldCharType="begin"/>
    </w:r>
    <w:r w:rsidRPr="00CE4C0E">
      <w:rPr>
        <w:b/>
        <w:sz w:val="18"/>
        <w:szCs w:val="18"/>
      </w:rPr>
      <w:instrText xml:space="preserve"> PAGE </w:instrText>
    </w:r>
    <w:r w:rsidRPr="00CE4C0E">
      <w:rPr>
        <w:b/>
        <w:sz w:val="18"/>
        <w:szCs w:val="18"/>
      </w:rPr>
      <w:fldChar w:fldCharType="separate"/>
    </w:r>
    <w:r w:rsidR="00E644C2">
      <w:rPr>
        <w:b/>
        <w:noProof/>
        <w:sz w:val="18"/>
        <w:szCs w:val="18"/>
      </w:rPr>
      <w:t>4</w:t>
    </w:r>
    <w:r w:rsidRPr="00CE4C0E">
      <w:rPr>
        <w:b/>
        <w:sz w:val="18"/>
        <w:szCs w:val="18"/>
      </w:rPr>
      <w:fldChar w:fldCharType="end"/>
    </w:r>
    <w:r w:rsidRPr="00CE4C0E">
      <w:rPr>
        <w:sz w:val="18"/>
        <w:szCs w:val="18"/>
      </w:rPr>
      <w:t xml:space="preserve"> of </w:t>
    </w:r>
    <w:r w:rsidR="005944BB">
      <w:rPr>
        <w:b/>
        <w:sz w:val="18"/>
        <w:szCs w:val="18"/>
      </w:rPr>
      <w:t>2</w:t>
    </w:r>
    <w:r w:rsidR="00426C7B">
      <w:rPr>
        <w:b/>
        <w:sz w:val="18"/>
        <w:szCs w:val="18"/>
      </w:rPr>
      <w:t>1</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C56E41" w14:textId="50E9E1F9" w:rsidR="00F20CB9" w:rsidRPr="00FA298D" w:rsidRDefault="00F20CB9" w:rsidP="001C1358">
    <w:pPr>
      <w:pBdr>
        <w:top w:val="single" w:sz="8" w:space="1" w:color="auto"/>
      </w:pBdr>
      <w:tabs>
        <w:tab w:val="left" w:pos="5760"/>
      </w:tabs>
      <w:rPr>
        <w:rStyle w:val="PageNumber"/>
        <w:sz w:val="22"/>
        <w:szCs w:val="22"/>
      </w:rPr>
    </w:pPr>
    <w:r w:rsidRPr="00FA298D">
      <w:rPr>
        <w:sz w:val="22"/>
        <w:szCs w:val="22"/>
      </w:rPr>
      <w:t>Griffin Industries of Florida</w:t>
    </w:r>
    <w:r w:rsidRPr="00FA298D">
      <w:rPr>
        <w:rStyle w:val="PageNumber"/>
        <w:color w:val="FF0000"/>
        <w:sz w:val="22"/>
        <w:szCs w:val="22"/>
      </w:rPr>
      <w:tab/>
    </w:r>
    <w:r w:rsidRPr="00FA298D">
      <w:rPr>
        <w:rStyle w:val="PageNumber"/>
        <w:color w:val="FF0000"/>
        <w:sz w:val="22"/>
        <w:szCs w:val="22"/>
      </w:rPr>
      <w:tab/>
      <w:t xml:space="preserve"> </w:t>
    </w:r>
    <w:r w:rsidRPr="00FA298D">
      <w:rPr>
        <w:rStyle w:val="PageNumber"/>
        <w:sz w:val="22"/>
        <w:szCs w:val="22"/>
      </w:rPr>
      <w:t>Air Permit No. 0070004-025-AC</w:t>
    </w:r>
  </w:p>
  <w:p w14:paraId="42238EF3" w14:textId="564C17C7" w:rsidR="00F20CB9" w:rsidRPr="00FA298D" w:rsidRDefault="00F20CB9" w:rsidP="001C1358">
    <w:pPr>
      <w:tabs>
        <w:tab w:val="left" w:pos="5040"/>
      </w:tabs>
      <w:rPr>
        <w:rStyle w:val="PageNumber"/>
        <w:sz w:val="22"/>
        <w:szCs w:val="22"/>
      </w:rPr>
    </w:pPr>
    <w:r w:rsidRPr="00FA298D">
      <w:rPr>
        <w:rStyle w:val="PageNumber"/>
        <w:sz w:val="22"/>
        <w:szCs w:val="22"/>
      </w:rPr>
      <w:t>Hampton Facility</w:t>
    </w:r>
    <w:r w:rsidRPr="00FA298D">
      <w:rPr>
        <w:rStyle w:val="PageNumber"/>
        <w:sz w:val="22"/>
        <w:szCs w:val="22"/>
      </w:rPr>
      <w:tab/>
    </w:r>
    <w:r w:rsidRPr="00FA298D">
      <w:rPr>
        <w:rStyle w:val="PageNumber"/>
        <w:sz w:val="22"/>
        <w:szCs w:val="22"/>
      </w:rPr>
      <w:tab/>
    </w:r>
    <w:r w:rsidRPr="00FA298D">
      <w:rPr>
        <w:rStyle w:val="PageNumber"/>
        <w:sz w:val="22"/>
        <w:szCs w:val="22"/>
      </w:rPr>
      <w:tab/>
    </w:r>
    <w:r w:rsidRPr="00FA298D">
      <w:rPr>
        <w:rStyle w:val="PageNumber"/>
        <w:sz w:val="22"/>
        <w:szCs w:val="22"/>
      </w:rPr>
      <w:tab/>
    </w:r>
  </w:p>
  <w:p w14:paraId="692FEA39" w14:textId="77777777" w:rsidR="00F20CB9" w:rsidRPr="00CE4C0E" w:rsidRDefault="00F20CB9" w:rsidP="00AE4D96">
    <w:pPr>
      <w:pStyle w:val="Footer"/>
      <w:tabs>
        <w:tab w:val="left" w:pos="6210"/>
      </w:tabs>
      <w:rPr>
        <w:sz w:val="18"/>
        <w:szCs w:val="18"/>
      </w:rPr>
    </w:pPr>
    <w:r w:rsidRPr="00CE4C0E">
      <w:rPr>
        <w:rStyle w:val="PageNumber"/>
      </w:rPr>
      <w:tab/>
    </w:r>
    <w:r w:rsidRPr="00CE4C0E">
      <w:rPr>
        <w:rStyle w:val="PageNumber"/>
      </w:rPr>
      <w:tab/>
    </w:r>
  </w:p>
  <w:p w14:paraId="6E3986C3" w14:textId="335A3264" w:rsidR="00F20CB9" w:rsidRDefault="00F20CB9" w:rsidP="005079ED">
    <w:pPr>
      <w:pStyle w:val="Footer"/>
      <w:jc w:val="center"/>
    </w:pPr>
    <w:r w:rsidRPr="00CE4C0E">
      <w:rPr>
        <w:sz w:val="18"/>
        <w:szCs w:val="18"/>
      </w:rPr>
      <w:t xml:space="preserve">Page </w:t>
    </w:r>
    <w:r w:rsidRPr="00CE4C0E">
      <w:rPr>
        <w:b/>
        <w:sz w:val="18"/>
        <w:szCs w:val="18"/>
      </w:rPr>
      <w:fldChar w:fldCharType="begin"/>
    </w:r>
    <w:r w:rsidRPr="00CE4C0E">
      <w:rPr>
        <w:b/>
        <w:sz w:val="18"/>
        <w:szCs w:val="18"/>
      </w:rPr>
      <w:instrText xml:space="preserve"> PAGE </w:instrText>
    </w:r>
    <w:r w:rsidRPr="00CE4C0E">
      <w:rPr>
        <w:b/>
        <w:sz w:val="18"/>
        <w:szCs w:val="18"/>
      </w:rPr>
      <w:fldChar w:fldCharType="separate"/>
    </w:r>
    <w:r w:rsidR="00E644C2">
      <w:rPr>
        <w:b/>
        <w:noProof/>
        <w:sz w:val="18"/>
        <w:szCs w:val="18"/>
      </w:rPr>
      <w:t>21</w:t>
    </w:r>
    <w:r w:rsidRPr="00CE4C0E">
      <w:rPr>
        <w:b/>
        <w:sz w:val="18"/>
        <w:szCs w:val="18"/>
      </w:rPr>
      <w:fldChar w:fldCharType="end"/>
    </w:r>
    <w:r w:rsidRPr="00CE4C0E">
      <w:rPr>
        <w:sz w:val="18"/>
        <w:szCs w:val="18"/>
      </w:rPr>
      <w:t xml:space="preserve"> of </w:t>
    </w:r>
    <w:r>
      <w:rPr>
        <w:b/>
        <w:sz w:val="18"/>
        <w:szCs w:val="18"/>
      </w:rPr>
      <w:t>2</w:t>
    </w:r>
    <w:r w:rsidR="00426C7B">
      <w:rPr>
        <w:b/>
        <w:sz w:val="18"/>
        <w:szCs w:val="18"/>
      </w:rPr>
      <w:t>1</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1D1BAB" w14:textId="77777777" w:rsidR="00F20CB9" w:rsidRDefault="00F20CB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F31709" w14:textId="77777777" w:rsidR="00F20CB9" w:rsidRDefault="00F20CB9">
      <w:r>
        <w:separator/>
      </w:r>
    </w:p>
  </w:footnote>
  <w:footnote w:type="continuationSeparator" w:id="0">
    <w:p w14:paraId="2C9AA337" w14:textId="77777777" w:rsidR="00F20CB9" w:rsidRDefault="00F20CB9">
      <w:r>
        <w:continuationSeparator/>
      </w:r>
    </w:p>
  </w:footnote>
  <w:footnote w:id="1">
    <w:p w14:paraId="03DC0274" w14:textId="37EAB5C8" w:rsidR="00F20CB9" w:rsidRDefault="00F20CB9" w:rsidP="001C6106">
      <w:pPr>
        <w:pStyle w:val="FootnoteText"/>
        <w:spacing w:after="120"/>
        <w:ind w:left="90" w:hanging="90"/>
      </w:pPr>
      <w:r>
        <w:rPr>
          <w:rStyle w:val="FootnoteReference"/>
        </w:rPr>
        <w:footnoteRef/>
      </w:r>
      <w:r>
        <w:t xml:space="preserve"> B</w:t>
      </w:r>
      <w:r w:rsidRPr="00C950B2">
        <w:t>ased on continuous use of the two solvents (traditional industry solvent and lower HAP solvent) an SPN Fines processing rate of 60 tons per day, the average 12-month rolling solvent loss rate of 5.89 gallons/ton (based on first five 12</w:t>
      </w:r>
      <w:r w:rsidRPr="00C950B2">
        <w:rPr>
          <w:rFonts w:ascii="Cambria Math" w:hAnsi="Cambria Math" w:cs="Cambria Math"/>
        </w:rPr>
        <w:t>‐</w:t>
      </w:r>
      <w:r w:rsidRPr="00C950B2">
        <w:t>month rolling periods of normal operation), and average solvent density of 5.52 pounds/gallon</w:t>
      </w:r>
      <w:r>
        <w:t>.</w:t>
      </w:r>
    </w:p>
  </w:footnote>
  <w:footnote w:id="2">
    <w:p w14:paraId="262F19A8" w14:textId="728CCB18" w:rsidR="00F20CB9" w:rsidRPr="00423F9D" w:rsidRDefault="00F20CB9" w:rsidP="0018366C">
      <w:pPr>
        <w:spacing w:after="120"/>
        <w:ind w:left="90" w:hanging="90"/>
        <w:rPr>
          <w:b/>
          <w:bCs/>
          <w:sz w:val="24"/>
          <w:szCs w:val="24"/>
        </w:rPr>
      </w:pPr>
      <w:r>
        <w:rPr>
          <w:rStyle w:val="FootnoteReference"/>
        </w:rPr>
        <w:footnoteRef/>
      </w:r>
      <w:r>
        <w:t xml:space="preserve"> Potential HAP emissions </w:t>
      </w:r>
      <w:r w:rsidR="00437BDC">
        <w:t>may</w:t>
      </w:r>
      <w:r>
        <w:t xml:space="preserve"> be less that this stated value by Griffin in the submitted application with the SPN Fines operational restriction discussed in </w:t>
      </w:r>
      <w:r w:rsidRPr="0018366C">
        <w:rPr>
          <w:b/>
        </w:rPr>
        <w:t>Section 5. Emissions Controls and Operating Restrictions</w:t>
      </w:r>
      <w:r>
        <w:t xml:space="preserve"> of this document. </w:t>
      </w:r>
    </w:p>
    <w:p w14:paraId="6926D119" w14:textId="11BB3881" w:rsidR="00F20CB9" w:rsidRDefault="00F20CB9">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9670EC" w14:textId="77777777" w:rsidR="0088120C" w:rsidRDefault="0088120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2CAE22" w14:textId="58E16B1A" w:rsidR="00F20CB9" w:rsidRDefault="00F20CB9">
    <w:pPr>
      <w:pStyle w:val="Header"/>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3CC868" w14:textId="77777777" w:rsidR="0088120C" w:rsidRDefault="0088120C">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B80D48" w14:textId="77777777" w:rsidR="00F20CB9" w:rsidRDefault="00F20CB9">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DA6168" w14:textId="77777777" w:rsidR="00F20CB9" w:rsidRDefault="00F20CB9" w:rsidP="008775B1">
    <w:pPr>
      <w:pStyle w:val="Header"/>
      <w:pBdr>
        <w:bottom w:val="single" w:sz="6" w:space="1" w:color="auto"/>
      </w:pBdr>
      <w:spacing w:after="240"/>
      <w:jc w:val="center"/>
      <w:rPr>
        <w:b/>
        <w:caps/>
        <w:sz w:val="22"/>
        <w:u w:val="single"/>
      </w:rPr>
    </w:pPr>
    <w:r>
      <w:rPr>
        <w:b/>
        <w:caps/>
        <w:sz w:val="22"/>
      </w:rPr>
      <w:t>TECHNICAL EVALUATION and PRELIMINARY DETERMINATION</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FD3584" w14:textId="77777777" w:rsidR="00F20CB9" w:rsidRDefault="00F20CB9">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101844" w14:textId="77777777" w:rsidR="00F20CB9" w:rsidRDefault="00F20CB9">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C08BC0" w14:textId="77777777" w:rsidR="00F20CB9" w:rsidRPr="00F4225F" w:rsidRDefault="00F20CB9" w:rsidP="00B24E2F">
    <w:pPr>
      <w:pStyle w:val="Header"/>
      <w:pBdr>
        <w:bottom w:val="single" w:sz="6" w:space="1" w:color="auto"/>
      </w:pBdr>
      <w:spacing w:after="240"/>
      <w:jc w:val="center"/>
      <w:rPr>
        <w:b/>
        <w:caps/>
        <w:sz w:val="22"/>
      </w:rPr>
    </w:pPr>
    <w:r w:rsidRPr="00F4225F">
      <w:rPr>
        <w:b/>
        <w:caps/>
        <w:sz w:val="22"/>
      </w:rPr>
      <w:t>TECHNICAL EVALUATION and PRELIMINARY DETERMINATION</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5549C8" w14:textId="77777777" w:rsidR="00F20CB9" w:rsidRDefault="00F20CB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3B387C"/>
    <w:multiLevelType w:val="hybridMultilevel"/>
    <w:tmpl w:val="1A3A6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395DDA"/>
    <w:multiLevelType w:val="hybridMultilevel"/>
    <w:tmpl w:val="0B181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044F7455"/>
    <w:multiLevelType w:val="hybridMultilevel"/>
    <w:tmpl w:val="4050AA32"/>
    <w:lvl w:ilvl="0" w:tplc="22AED690">
      <w:start w:val="1"/>
      <w:numFmt w:val="bullet"/>
      <w:lvlText w:val=""/>
      <w:lvlJc w:val="left"/>
      <w:pPr>
        <w:ind w:left="108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95835CD"/>
    <w:multiLevelType w:val="hybridMultilevel"/>
    <w:tmpl w:val="74348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A51898"/>
    <w:multiLevelType w:val="hybridMultilevel"/>
    <w:tmpl w:val="793A47D8"/>
    <w:lvl w:ilvl="0" w:tplc="83C6EADC">
      <w:start w:val="1"/>
      <w:numFmt w:val="bullet"/>
      <w:lvlText w:val=""/>
      <w:lvlJc w:val="left"/>
      <w:pPr>
        <w:ind w:left="1080" w:hanging="360"/>
      </w:pPr>
      <w:rPr>
        <w:rFonts w:ascii="Times New Roman" w:hAnsi="Times New Roman" w:cs="Times New Roman" w:hint="default"/>
      </w:rPr>
    </w:lvl>
    <w:lvl w:ilvl="1" w:tplc="04090001">
      <w:start w:val="1"/>
      <w:numFmt w:val="bullet"/>
      <w:lvlText w:val=""/>
      <w:lvlJc w:val="left"/>
      <w:pPr>
        <w:ind w:left="2520" w:hanging="1080"/>
      </w:pPr>
      <w:rPr>
        <w:rFonts w:ascii="Symbol" w:hAnsi="Symbol"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1DB026DA"/>
    <w:multiLevelType w:val="hybridMultilevel"/>
    <w:tmpl w:val="C28AA36E"/>
    <w:lvl w:ilvl="0" w:tplc="04090003">
      <w:start w:val="1"/>
      <w:numFmt w:val="bullet"/>
      <w:lvlText w:val="o"/>
      <w:lvlJc w:val="left"/>
      <w:pPr>
        <w:ind w:left="1440" w:hanging="360"/>
      </w:pPr>
      <w:rPr>
        <w:rFonts w:ascii="Courier New" w:hAnsi="Courier New" w:cs="Courier New" w:hint="default"/>
        <w:b w:val="0"/>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3125186E"/>
    <w:multiLevelType w:val="hybridMultilevel"/>
    <w:tmpl w:val="BF0248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3586A2C"/>
    <w:multiLevelType w:val="hybridMultilevel"/>
    <w:tmpl w:val="6BC24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482172E"/>
    <w:multiLevelType w:val="hybridMultilevel"/>
    <w:tmpl w:val="ACF6F0F6"/>
    <w:lvl w:ilvl="0" w:tplc="0518AA88">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11C16EC"/>
    <w:multiLevelType w:val="hybridMultilevel"/>
    <w:tmpl w:val="4798F076"/>
    <w:lvl w:ilvl="0" w:tplc="766A4D7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416A3857"/>
    <w:multiLevelType w:val="hybridMultilevel"/>
    <w:tmpl w:val="392A7E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CBD3940"/>
    <w:multiLevelType w:val="hybridMultilevel"/>
    <w:tmpl w:val="0BBC91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4D5E65C9"/>
    <w:multiLevelType w:val="hybridMultilevel"/>
    <w:tmpl w:val="33F0E7B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50592558"/>
    <w:multiLevelType w:val="hybridMultilevel"/>
    <w:tmpl w:val="2EC2316E"/>
    <w:lvl w:ilvl="0" w:tplc="04090001">
      <w:start w:val="1"/>
      <w:numFmt w:val="bullet"/>
      <w:lvlText w:val=""/>
      <w:lvlJc w:val="left"/>
      <w:pPr>
        <w:ind w:left="630" w:hanging="360"/>
      </w:pPr>
      <w:rPr>
        <w:rFonts w:ascii="Symbol" w:hAnsi="Symbol" w:hint="default"/>
      </w:rPr>
    </w:lvl>
    <w:lvl w:ilvl="1" w:tplc="04090003">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
    <w:nsid w:val="52721AA5"/>
    <w:multiLevelType w:val="hybridMultilevel"/>
    <w:tmpl w:val="473A030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74C20043"/>
    <w:multiLevelType w:val="multilevel"/>
    <w:tmpl w:val="755A5C2E"/>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b/>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78204075"/>
    <w:multiLevelType w:val="hybridMultilevel"/>
    <w:tmpl w:val="10BC7AF2"/>
    <w:lvl w:ilvl="0" w:tplc="8DE8956C">
      <w:start w:val="3"/>
      <w:numFmt w:val="decimal"/>
      <w:lvlText w:val="%1."/>
      <w:lvlJc w:val="left"/>
      <w:pPr>
        <w:ind w:left="126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A8812BB"/>
    <w:multiLevelType w:val="hybridMultilevel"/>
    <w:tmpl w:val="E3B89456"/>
    <w:lvl w:ilvl="0" w:tplc="D6DEB838">
      <w:numFmt w:val="bullet"/>
      <w:lvlText w:val="•"/>
      <w:lvlJc w:val="left"/>
      <w:pPr>
        <w:ind w:left="360" w:firstLine="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0"/>
  </w:num>
  <w:num w:numId="3">
    <w:abstractNumId w:val="5"/>
  </w:num>
  <w:num w:numId="4">
    <w:abstractNumId w:val="18"/>
  </w:num>
  <w:num w:numId="5">
    <w:abstractNumId w:val="15"/>
  </w:num>
  <w:num w:numId="6">
    <w:abstractNumId w:val="6"/>
  </w:num>
  <w:num w:numId="7">
    <w:abstractNumId w:val="1"/>
  </w:num>
  <w:num w:numId="8">
    <w:abstractNumId w:val="11"/>
  </w:num>
  <w:num w:numId="9">
    <w:abstractNumId w:val="7"/>
  </w:num>
  <w:num w:numId="10">
    <w:abstractNumId w:val="13"/>
  </w:num>
  <w:num w:numId="11">
    <w:abstractNumId w:val="14"/>
  </w:num>
  <w:num w:numId="12">
    <w:abstractNumId w:val="4"/>
  </w:num>
  <w:num w:numId="13">
    <w:abstractNumId w:val="0"/>
  </w:num>
  <w:num w:numId="14">
    <w:abstractNumId w:val="9"/>
  </w:num>
  <w:num w:numId="15">
    <w:abstractNumId w:val="16"/>
  </w:num>
  <w:num w:numId="16">
    <w:abstractNumId w:val="8"/>
  </w:num>
  <w:num w:numId="17">
    <w:abstractNumId w:val="2"/>
  </w:num>
  <w:num w:numId="18">
    <w:abstractNumId w:val="17"/>
  </w:num>
  <w:num w:numId="19">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rawingGridHorizontalSpacing w:val="100"/>
  <w:displayHorizontalDrawingGridEvery w:val="0"/>
  <w:displayVerticalDrawingGridEvery w:val="0"/>
  <w:noPunctuationKerning/>
  <w:characterSpacingControl w:val="doNotCompress"/>
  <w:hdrShapeDefaults>
    <o:shapedefaults v:ext="edit" spidmax="175105">
      <o:colormenu v:ext="edit" strokecolor="red"/>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3F10"/>
    <w:rsid w:val="00002107"/>
    <w:rsid w:val="0000501F"/>
    <w:rsid w:val="000069C2"/>
    <w:rsid w:val="000074ED"/>
    <w:rsid w:val="00007A3C"/>
    <w:rsid w:val="00007C5D"/>
    <w:rsid w:val="00010F0D"/>
    <w:rsid w:val="00011A5D"/>
    <w:rsid w:val="0001328A"/>
    <w:rsid w:val="00013BAF"/>
    <w:rsid w:val="00015F67"/>
    <w:rsid w:val="00016EBC"/>
    <w:rsid w:val="00017663"/>
    <w:rsid w:val="00020D9C"/>
    <w:rsid w:val="000217F1"/>
    <w:rsid w:val="00023A9C"/>
    <w:rsid w:val="00026081"/>
    <w:rsid w:val="00026E9B"/>
    <w:rsid w:val="00027E3C"/>
    <w:rsid w:val="000330CC"/>
    <w:rsid w:val="00035473"/>
    <w:rsid w:val="00035825"/>
    <w:rsid w:val="00035D28"/>
    <w:rsid w:val="00035F80"/>
    <w:rsid w:val="00041302"/>
    <w:rsid w:val="00042F97"/>
    <w:rsid w:val="00044091"/>
    <w:rsid w:val="00044428"/>
    <w:rsid w:val="000444E4"/>
    <w:rsid w:val="00044CFD"/>
    <w:rsid w:val="000462C8"/>
    <w:rsid w:val="00051DC3"/>
    <w:rsid w:val="000548D2"/>
    <w:rsid w:val="00054F49"/>
    <w:rsid w:val="00055086"/>
    <w:rsid w:val="00056DA1"/>
    <w:rsid w:val="000576DF"/>
    <w:rsid w:val="000603DB"/>
    <w:rsid w:val="0006088F"/>
    <w:rsid w:val="0006146B"/>
    <w:rsid w:val="000619AA"/>
    <w:rsid w:val="00061A11"/>
    <w:rsid w:val="00061A51"/>
    <w:rsid w:val="00063C12"/>
    <w:rsid w:val="00064A71"/>
    <w:rsid w:val="00066489"/>
    <w:rsid w:val="00066625"/>
    <w:rsid w:val="00066706"/>
    <w:rsid w:val="0006705E"/>
    <w:rsid w:val="00067CFF"/>
    <w:rsid w:val="0007155F"/>
    <w:rsid w:val="000719CA"/>
    <w:rsid w:val="000750E0"/>
    <w:rsid w:val="00076551"/>
    <w:rsid w:val="00077FF6"/>
    <w:rsid w:val="00081064"/>
    <w:rsid w:val="00082DDE"/>
    <w:rsid w:val="00083BD8"/>
    <w:rsid w:val="00084025"/>
    <w:rsid w:val="000844DE"/>
    <w:rsid w:val="00086C13"/>
    <w:rsid w:val="00086D53"/>
    <w:rsid w:val="00091FED"/>
    <w:rsid w:val="00092806"/>
    <w:rsid w:val="000941CE"/>
    <w:rsid w:val="00094971"/>
    <w:rsid w:val="00095684"/>
    <w:rsid w:val="00095F62"/>
    <w:rsid w:val="00096160"/>
    <w:rsid w:val="000A0BAC"/>
    <w:rsid w:val="000A0E21"/>
    <w:rsid w:val="000A28FF"/>
    <w:rsid w:val="000A467B"/>
    <w:rsid w:val="000A4704"/>
    <w:rsid w:val="000A6BDA"/>
    <w:rsid w:val="000A726F"/>
    <w:rsid w:val="000A7DC5"/>
    <w:rsid w:val="000B0207"/>
    <w:rsid w:val="000B1252"/>
    <w:rsid w:val="000B2297"/>
    <w:rsid w:val="000B3073"/>
    <w:rsid w:val="000B30BD"/>
    <w:rsid w:val="000B3948"/>
    <w:rsid w:val="000B3D5A"/>
    <w:rsid w:val="000B3F3E"/>
    <w:rsid w:val="000B46F8"/>
    <w:rsid w:val="000B4B28"/>
    <w:rsid w:val="000B6108"/>
    <w:rsid w:val="000B6940"/>
    <w:rsid w:val="000B735A"/>
    <w:rsid w:val="000B779A"/>
    <w:rsid w:val="000B7E74"/>
    <w:rsid w:val="000C097C"/>
    <w:rsid w:val="000C20A6"/>
    <w:rsid w:val="000C29A9"/>
    <w:rsid w:val="000C2F22"/>
    <w:rsid w:val="000C349F"/>
    <w:rsid w:val="000C34C3"/>
    <w:rsid w:val="000C3F47"/>
    <w:rsid w:val="000C46E9"/>
    <w:rsid w:val="000C5143"/>
    <w:rsid w:val="000C6173"/>
    <w:rsid w:val="000C6601"/>
    <w:rsid w:val="000C6C8E"/>
    <w:rsid w:val="000C6F8C"/>
    <w:rsid w:val="000D094C"/>
    <w:rsid w:val="000D0B8C"/>
    <w:rsid w:val="000D1D28"/>
    <w:rsid w:val="000D31DB"/>
    <w:rsid w:val="000D461D"/>
    <w:rsid w:val="000D4797"/>
    <w:rsid w:val="000D520C"/>
    <w:rsid w:val="000D5983"/>
    <w:rsid w:val="000D7E55"/>
    <w:rsid w:val="000E0776"/>
    <w:rsid w:val="000E19D0"/>
    <w:rsid w:val="000E1F67"/>
    <w:rsid w:val="000E318C"/>
    <w:rsid w:val="000E46E8"/>
    <w:rsid w:val="000E67EF"/>
    <w:rsid w:val="000E7218"/>
    <w:rsid w:val="000E749E"/>
    <w:rsid w:val="000F5193"/>
    <w:rsid w:val="000F5ECB"/>
    <w:rsid w:val="000F7C26"/>
    <w:rsid w:val="001005AE"/>
    <w:rsid w:val="00101D1C"/>
    <w:rsid w:val="00102DC6"/>
    <w:rsid w:val="0010418C"/>
    <w:rsid w:val="001051CE"/>
    <w:rsid w:val="00106E08"/>
    <w:rsid w:val="001102FF"/>
    <w:rsid w:val="00110C5C"/>
    <w:rsid w:val="0011151F"/>
    <w:rsid w:val="0011159E"/>
    <w:rsid w:val="001122DC"/>
    <w:rsid w:val="001125BB"/>
    <w:rsid w:val="00113485"/>
    <w:rsid w:val="00114B2C"/>
    <w:rsid w:val="0011771D"/>
    <w:rsid w:val="001212AB"/>
    <w:rsid w:val="001212F5"/>
    <w:rsid w:val="001213DC"/>
    <w:rsid w:val="0012189F"/>
    <w:rsid w:val="00123CAE"/>
    <w:rsid w:val="001257DF"/>
    <w:rsid w:val="00125A95"/>
    <w:rsid w:val="00126957"/>
    <w:rsid w:val="0012762B"/>
    <w:rsid w:val="0013073B"/>
    <w:rsid w:val="001308C7"/>
    <w:rsid w:val="00131FA2"/>
    <w:rsid w:val="001336DA"/>
    <w:rsid w:val="001340F5"/>
    <w:rsid w:val="001341F1"/>
    <w:rsid w:val="00134822"/>
    <w:rsid w:val="00135F5F"/>
    <w:rsid w:val="00136B63"/>
    <w:rsid w:val="00136CDE"/>
    <w:rsid w:val="00136FA7"/>
    <w:rsid w:val="00140DCB"/>
    <w:rsid w:val="001422B3"/>
    <w:rsid w:val="001456C0"/>
    <w:rsid w:val="00150A72"/>
    <w:rsid w:val="00150F7A"/>
    <w:rsid w:val="00151931"/>
    <w:rsid w:val="00152641"/>
    <w:rsid w:val="00152808"/>
    <w:rsid w:val="00152D00"/>
    <w:rsid w:val="00155158"/>
    <w:rsid w:val="001566D3"/>
    <w:rsid w:val="00156C2F"/>
    <w:rsid w:val="00157B5D"/>
    <w:rsid w:val="00157D46"/>
    <w:rsid w:val="001620E6"/>
    <w:rsid w:val="00162438"/>
    <w:rsid w:val="0016249E"/>
    <w:rsid w:val="00162ADF"/>
    <w:rsid w:val="001645BA"/>
    <w:rsid w:val="0016586A"/>
    <w:rsid w:val="00165C24"/>
    <w:rsid w:val="001703E1"/>
    <w:rsid w:val="00170C33"/>
    <w:rsid w:val="00170E8C"/>
    <w:rsid w:val="00171200"/>
    <w:rsid w:val="00175381"/>
    <w:rsid w:val="001756D9"/>
    <w:rsid w:val="00175AA7"/>
    <w:rsid w:val="00175CA7"/>
    <w:rsid w:val="00176308"/>
    <w:rsid w:val="00176B64"/>
    <w:rsid w:val="001771DC"/>
    <w:rsid w:val="00177272"/>
    <w:rsid w:val="00177CB2"/>
    <w:rsid w:val="001800C9"/>
    <w:rsid w:val="001803FD"/>
    <w:rsid w:val="001819C5"/>
    <w:rsid w:val="0018366C"/>
    <w:rsid w:val="001837B4"/>
    <w:rsid w:val="0018469C"/>
    <w:rsid w:val="00184DDA"/>
    <w:rsid w:val="00185E2E"/>
    <w:rsid w:val="00190B4F"/>
    <w:rsid w:val="00191451"/>
    <w:rsid w:val="001929A1"/>
    <w:rsid w:val="001933A5"/>
    <w:rsid w:val="001937C1"/>
    <w:rsid w:val="00193F10"/>
    <w:rsid w:val="001940DC"/>
    <w:rsid w:val="00194AA6"/>
    <w:rsid w:val="00197DC1"/>
    <w:rsid w:val="001A27A9"/>
    <w:rsid w:val="001A6139"/>
    <w:rsid w:val="001A683F"/>
    <w:rsid w:val="001B0788"/>
    <w:rsid w:val="001B5A83"/>
    <w:rsid w:val="001B6B6E"/>
    <w:rsid w:val="001B71E3"/>
    <w:rsid w:val="001B7C39"/>
    <w:rsid w:val="001C00C4"/>
    <w:rsid w:val="001C05A6"/>
    <w:rsid w:val="001C07A3"/>
    <w:rsid w:val="001C1358"/>
    <w:rsid w:val="001C2C31"/>
    <w:rsid w:val="001C2D87"/>
    <w:rsid w:val="001C2EB7"/>
    <w:rsid w:val="001C4E37"/>
    <w:rsid w:val="001C5F00"/>
    <w:rsid w:val="001C6106"/>
    <w:rsid w:val="001C698C"/>
    <w:rsid w:val="001D35F1"/>
    <w:rsid w:val="001D3E3F"/>
    <w:rsid w:val="001D487F"/>
    <w:rsid w:val="001D4979"/>
    <w:rsid w:val="001D5978"/>
    <w:rsid w:val="001E0EE9"/>
    <w:rsid w:val="001E220F"/>
    <w:rsid w:val="001E31AF"/>
    <w:rsid w:val="001E35CE"/>
    <w:rsid w:val="001E42A1"/>
    <w:rsid w:val="001E496E"/>
    <w:rsid w:val="001E5B7E"/>
    <w:rsid w:val="001E6852"/>
    <w:rsid w:val="001F0C44"/>
    <w:rsid w:val="001F0E9F"/>
    <w:rsid w:val="001F18F7"/>
    <w:rsid w:val="001F1ABC"/>
    <w:rsid w:val="001F20D8"/>
    <w:rsid w:val="001F28B0"/>
    <w:rsid w:val="001F384D"/>
    <w:rsid w:val="001F437C"/>
    <w:rsid w:val="001F5F63"/>
    <w:rsid w:val="001F6234"/>
    <w:rsid w:val="001F7CBB"/>
    <w:rsid w:val="002011BF"/>
    <w:rsid w:val="00201FA3"/>
    <w:rsid w:val="00203F18"/>
    <w:rsid w:val="00204A37"/>
    <w:rsid w:val="00205A9C"/>
    <w:rsid w:val="00207326"/>
    <w:rsid w:val="00210D50"/>
    <w:rsid w:val="002119E9"/>
    <w:rsid w:val="00213310"/>
    <w:rsid w:val="00215A14"/>
    <w:rsid w:val="00215AE8"/>
    <w:rsid w:val="00217413"/>
    <w:rsid w:val="002175B9"/>
    <w:rsid w:val="00217B0A"/>
    <w:rsid w:val="00217FA1"/>
    <w:rsid w:val="00221CBC"/>
    <w:rsid w:val="00221F5C"/>
    <w:rsid w:val="0022347B"/>
    <w:rsid w:val="00225840"/>
    <w:rsid w:val="00225926"/>
    <w:rsid w:val="002270D0"/>
    <w:rsid w:val="00227A30"/>
    <w:rsid w:val="00227D82"/>
    <w:rsid w:val="00227EFB"/>
    <w:rsid w:val="00230234"/>
    <w:rsid w:val="002306E3"/>
    <w:rsid w:val="00233703"/>
    <w:rsid w:val="00233D2D"/>
    <w:rsid w:val="00234826"/>
    <w:rsid w:val="00234A65"/>
    <w:rsid w:val="00240C93"/>
    <w:rsid w:val="002442AD"/>
    <w:rsid w:val="002446E8"/>
    <w:rsid w:val="00246130"/>
    <w:rsid w:val="0024625A"/>
    <w:rsid w:val="00247D4C"/>
    <w:rsid w:val="00247F12"/>
    <w:rsid w:val="00250DA2"/>
    <w:rsid w:val="00251AA9"/>
    <w:rsid w:val="00253F3D"/>
    <w:rsid w:val="002555AD"/>
    <w:rsid w:val="00257CB5"/>
    <w:rsid w:val="00262ED1"/>
    <w:rsid w:val="002646F0"/>
    <w:rsid w:val="002656E4"/>
    <w:rsid w:val="00266042"/>
    <w:rsid w:val="002671F4"/>
    <w:rsid w:val="00267FF1"/>
    <w:rsid w:val="00271F68"/>
    <w:rsid w:val="00274DB1"/>
    <w:rsid w:val="0027734D"/>
    <w:rsid w:val="0028022C"/>
    <w:rsid w:val="00282DD5"/>
    <w:rsid w:val="00283736"/>
    <w:rsid w:val="002846A1"/>
    <w:rsid w:val="002859B8"/>
    <w:rsid w:val="00286323"/>
    <w:rsid w:val="00286B92"/>
    <w:rsid w:val="002872A3"/>
    <w:rsid w:val="00290ACC"/>
    <w:rsid w:val="0029134F"/>
    <w:rsid w:val="00292004"/>
    <w:rsid w:val="002921E0"/>
    <w:rsid w:val="0029683B"/>
    <w:rsid w:val="00296B86"/>
    <w:rsid w:val="002A05AE"/>
    <w:rsid w:val="002A1F08"/>
    <w:rsid w:val="002A2578"/>
    <w:rsid w:val="002A274B"/>
    <w:rsid w:val="002A28C2"/>
    <w:rsid w:val="002B1F68"/>
    <w:rsid w:val="002B41D3"/>
    <w:rsid w:val="002B5A5A"/>
    <w:rsid w:val="002B628E"/>
    <w:rsid w:val="002B62D8"/>
    <w:rsid w:val="002B77D3"/>
    <w:rsid w:val="002B7EBA"/>
    <w:rsid w:val="002C5816"/>
    <w:rsid w:val="002C7057"/>
    <w:rsid w:val="002C71ED"/>
    <w:rsid w:val="002D0C88"/>
    <w:rsid w:val="002D4E2D"/>
    <w:rsid w:val="002D60E9"/>
    <w:rsid w:val="002E214D"/>
    <w:rsid w:val="002E27B8"/>
    <w:rsid w:val="002E2A89"/>
    <w:rsid w:val="002E3FE9"/>
    <w:rsid w:val="002F0C56"/>
    <w:rsid w:val="002F0E6E"/>
    <w:rsid w:val="002F3013"/>
    <w:rsid w:val="002F431F"/>
    <w:rsid w:val="002F5DDC"/>
    <w:rsid w:val="002F6840"/>
    <w:rsid w:val="002F730B"/>
    <w:rsid w:val="002F7F9C"/>
    <w:rsid w:val="00300413"/>
    <w:rsid w:val="00304A49"/>
    <w:rsid w:val="00305C6C"/>
    <w:rsid w:val="00306294"/>
    <w:rsid w:val="003063B5"/>
    <w:rsid w:val="00306E92"/>
    <w:rsid w:val="003120B2"/>
    <w:rsid w:val="00312B9B"/>
    <w:rsid w:val="00314E04"/>
    <w:rsid w:val="003159B1"/>
    <w:rsid w:val="00315ACE"/>
    <w:rsid w:val="003160A6"/>
    <w:rsid w:val="003209A5"/>
    <w:rsid w:val="00323C7A"/>
    <w:rsid w:val="003248DC"/>
    <w:rsid w:val="00325D7C"/>
    <w:rsid w:val="003279F1"/>
    <w:rsid w:val="0033191D"/>
    <w:rsid w:val="00334313"/>
    <w:rsid w:val="00335879"/>
    <w:rsid w:val="00336307"/>
    <w:rsid w:val="003366A5"/>
    <w:rsid w:val="00336FA8"/>
    <w:rsid w:val="00337396"/>
    <w:rsid w:val="00340582"/>
    <w:rsid w:val="00343866"/>
    <w:rsid w:val="003438B4"/>
    <w:rsid w:val="0034430F"/>
    <w:rsid w:val="00347905"/>
    <w:rsid w:val="00351286"/>
    <w:rsid w:val="00351EAA"/>
    <w:rsid w:val="00352BC5"/>
    <w:rsid w:val="00352DBC"/>
    <w:rsid w:val="00353594"/>
    <w:rsid w:val="00354737"/>
    <w:rsid w:val="00355024"/>
    <w:rsid w:val="00356613"/>
    <w:rsid w:val="00356D3D"/>
    <w:rsid w:val="00356FB5"/>
    <w:rsid w:val="003570EA"/>
    <w:rsid w:val="003604E9"/>
    <w:rsid w:val="00362932"/>
    <w:rsid w:val="00362B27"/>
    <w:rsid w:val="00366046"/>
    <w:rsid w:val="00366114"/>
    <w:rsid w:val="0036621A"/>
    <w:rsid w:val="0036695C"/>
    <w:rsid w:val="003669FC"/>
    <w:rsid w:val="00367664"/>
    <w:rsid w:val="003701D1"/>
    <w:rsid w:val="00370ADC"/>
    <w:rsid w:val="00371C0D"/>
    <w:rsid w:val="00371D76"/>
    <w:rsid w:val="0037218A"/>
    <w:rsid w:val="003738C7"/>
    <w:rsid w:val="00375E61"/>
    <w:rsid w:val="00377C06"/>
    <w:rsid w:val="00380ACD"/>
    <w:rsid w:val="00382219"/>
    <w:rsid w:val="00383485"/>
    <w:rsid w:val="0038399D"/>
    <w:rsid w:val="003858DE"/>
    <w:rsid w:val="003866B9"/>
    <w:rsid w:val="00386FA4"/>
    <w:rsid w:val="00390470"/>
    <w:rsid w:val="0039076B"/>
    <w:rsid w:val="003916F1"/>
    <w:rsid w:val="0039281E"/>
    <w:rsid w:val="00394F12"/>
    <w:rsid w:val="0039520E"/>
    <w:rsid w:val="003972A6"/>
    <w:rsid w:val="00397A42"/>
    <w:rsid w:val="00397E8B"/>
    <w:rsid w:val="003A0805"/>
    <w:rsid w:val="003A0967"/>
    <w:rsid w:val="003A0E06"/>
    <w:rsid w:val="003A3664"/>
    <w:rsid w:val="003A3C29"/>
    <w:rsid w:val="003A4566"/>
    <w:rsid w:val="003A650D"/>
    <w:rsid w:val="003A65F2"/>
    <w:rsid w:val="003B135D"/>
    <w:rsid w:val="003B2FC7"/>
    <w:rsid w:val="003B57BA"/>
    <w:rsid w:val="003C077A"/>
    <w:rsid w:val="003C1887"/>
    <w:rsid w:val="003C2B87"/>
    <w:rsid w:val="003C3294"/>
    <w:rsid w:val="003C40AC"/>
    <w:rsid w:val="003C59CF"/>
    <w:rsid w:val="003C7053"/>
    <w:rsid w:val="003C7E32"/>
    <w:rsid w:val="003C7EBA"/>
    <w:rsid w:val="003D0BC3"/>
    <w:rsid w:val="003D0C6A"/>
    <w:rsid w:val="003D3A2F"/>
    <w:rsid w:val="003D5965"/>
    <w:rsid w:val="003D6866"/>
    <w:rsid w:val="003D7AE8"/>
    <w:rsid w:val="003E1283"/>
    <w:rsid w:val="003E2F21"/>
    <w:rsid w:val="003E43A2"/>
    <w:rsid w:val="003E5715"/>
    <w:rsid w:val="003E683A"/>
    <w:rsid w:val="003E6AFD"/>
    <w:rsid w:val="003E7693"/>
    <w:rsid w:val="003E7697"/>
    <w:rsid w:val="003E772A"/>
    <w:rsid w:val="003E7A07"/>
    <w:rsid w:val="003F07A0"/>
    <w:rsid w:val="003F298E"/>
    <w:rsid w:val="003F476B"/>
    <w:rsid w:val="003F47A4"/>
    <w:rsid w:val="003F579D"/>
    <w:rsid w:val="003F606B"/>
    <w:rsid w:val="003F6460"/>
    <w:rsid w:val="003F669B"/>
    <w:rsid w:val="004005D8"/>
    <w:rsid w:val="004006FB"/>
    <w:rsid w:val="00402448"/>
    <w:rsid w:val="00402A33"/>
    <w:rsid w:val="0040765D"/>
    <w:rsid w:val="0041020C"/>
    <w:rsid w:val="004108E9"/>
    <w:rsid w:val="00411A55"/>
    <w:rsid w:val="00413715"/>
    <w:rsid w:val="00413841"/>
    <w:rsid w:val="00413FB1"/>
    <w:rsid w:val="004149DF"/>
    <w:rsid w:val="00414AA6"/>
    <w:rsid w:val="00415E92"/>
    <w:rsid w:val="00416380"/>
    <w:rsid w:val="00417146"/>
    <w:rsid w:val="004213C5"/>
    <w:rsid w:val="0042185B"/>
    <w:rsid w:val="00421E4B"/>
    <w:rsid w:val="00423F9D"/>
    <w:rsid w:val="004261DC"/>
    <w:rsid w:val="00426C7B"/>
    <w:rsid w:val="004276B8"/>
    <w:rsid w:val="004300DF"/>
    <w:rsid w:val="00431255"/>
    <w:rsid w:val="00431D45"/>
    <w:rsid w:val="00432CD4"/>
    <w:rsid w:val="00433F36"/>
    <w:rsid w:val="004361EC"/>
    <w:rsid w:val="00437BDC"/>
    <w:rsid w:val="004408F7"/>
    <w:rsid w:val="004414F2"/>
    <w:rsid w:val="00443AB7"/>
    <w:rsid w:val="00443B40"/>
    <w:rsid w:val="00446B5E"/>
    <w:rsid w:val="00446CB2"/>
    <w:rsid w:val="004472C8"/>
    <w:rsid w:val="00447EF4"/>
    <w:rsid w:val="00450CAA"/>
    <w:rsid w:val="004515CB"/>
    <w:rsid w:val="00451791"/>
    <w:rsid w:val="004521C8"/>
    <w:rsid w:val="004521F6"/>
    <w:rsid w:val="00453D7D"/>
    <w:rsid w:val="00457047"/>
    <w:rsid w:val="004570E5"/>
    <w:rsid w:val="0046068D"/>
    <w:rsid w:val="00461C1A"/>
    <w:rsid w:val="00463B8D"/>
    <w:rsid w:val="00464DAD"/>
    <w:rsid w:val="00465504"/>
    <w:rsid w:val="0046765F"/>
    <w:rsid w:val="00470E30"/>
    <w:rsid w:val="00471E44"/>
    <w:rsid w:val="00476B68"/>
    <w:rsid w:val="004857DD"/>
    <w:rsid w:val="00487268"/>
    <w:rsid w:val="004906C6"/>
    <w:rsid w:val="00490A83"/>
    <w:rsid w:val="004916E1"/>
    <w:rsid w:val="00491836"/>
    <w:rsid w:val="00491F6D"/>
    <w:rsid w:val="00492BD4"/>
    <w:rsid w:val="004939BF"/>
    <w:rsid w:val="00493D21"/>
    <w:rsid w:val="00494075"/>
    <w:rsid w:val="00495E98"/>
    <w:rsid w:val="00496433"/>
    <w:rsid w:val="00496FB5"/>
    <w:rsid w:val="004A1F6E"/>
    <w:rsid w:val="004A269B"/>
    <w:rsid w:val="004A2CFB"/>
    <w:rsid w:val="004A50BA"/>
    <w:rsid w:val="004A6A69"/>
    <w:rsid w:val="004A751B"/>
    <w:rsid w:val="004B14BC"/>
    <w:rsid w:val="004B2A23"/>
    <w:rsid w:val="004B2C08"/>
    <w:rsid w:val="004B2C0E"/>
    <w:rsid w:val="004B668D"/>
    <w:rsid w:val="004B695C"/>
    <w:rsid w:val="004B736E"/>
    <w:rsid w:val="004B779D"/>
    <w:rsid w:val="004B7BF1"/>
    <w:rsid w:val="004C013D"/>
    <w:rsid w:val="004C0984"/>
    <w:rsid w:val="004C0C96"/>
    <w:rsid w:val="004C2237"/>
    <w:rsid w:val="004C248D"/>
    <w:rsid w:val="004C2F6A"/>
    <w:rsid w:val="004C4717"/>
    <w:rsid w:val="004C519F"/>
    <w:rsid w:val="004C5DEA"/>
    <w:rsid w:val="004C7213"/>
    <w:rsid w:val="004C7730"/>
    <w:rsid w:val="004D223E"/>
    <w:rsid w:val="004D53D3"/>
    <w:rsid w:val="004D57F9"/>
    <w:rsid w:val="004D7114"/>
    <w:rsid w:val="004D783E"/>
    <w:rsid w:val="004D7DD5"/>
    <w:rsid w:val="004E0C80"/>
    <w:rsid w:val="004E1F57"/>
    <w:rsid w:val="004E392D"/>
    <w:rsid w:val="004E53E6"/>
    <w:rsid w:val="004E558D"/>
    <w:rsid w:val="004F1474"/>
    <w:rsid w:val="004F18CB"/>
    <w:rsid w:val="004F33A9"/>
    <w:rsid w:val="004F3C46"/>
    <w:rsid w:val="004F4656"/>
    <w:rsid w:val="005012C8"/>
    <w:rsid w:val="00501450"/>
    <w:rsid w:val="0050211C"/>
    <w:rsid w:val="0050330C"/>
    <w:rsid w:val="0050597F"/>
    <w:rsid w:val="005072B3"/>
    <w:rsid w:val="005079ED"/>
    <w:rsid w:val="00507F5A"/>
    <w:rsid w:val="0051094C"/>
    <w:rsid w:val="00510CD6"/>
    <w:rsid w:val="005130D8"/>
    <w:rsid w:val="00514649"/>
    <w:rsid w:val="00514926"/>
    <w:rsid w:val="005165F8"/>
    <w:rsid w:val="0052013F"/>
    <w:rsid w:val="0052332A"/>
    <w:rsid w:val="00523DB2"/>
    <w:rsid w:val="00525065"/>
    <w:rsid w:val="00525EDE"/>
    <w:rsid w:val="00526A8A"/>
    <w:rsid w:val="00527657"/>
    <w:rsid w:val="00527D52"/>
    <w:rsid w:val="005310E0"/>
    <w:rsid w:val="0053142D"/>
    <w:rsid w:val="00531DF3"/>
    <w:rsid w:val="00532235"/>
    <w:rsid w:val="00533A14"/>
    <w:rsid w:val="005372A9"/>
    <w:rsid w:val="00540C40"/>
    <w:rsid w:val="00541857"/>
    <w:rsid w:val="00542205"/>
    <w:rsid w:val="0054266D"/>
    <w:rsid w:val="0054287A"/>
    <w:rsid w:val="005439CB"/>
    <w:rsid w:val="00545E4C"/>
    <w:rsid w:val="005465C5"/>
    <w:rsid w:val="00550BC6"/>
    <w:rsid w:val="005522D1"/>
    <w:rsid w:val="005528AE"/>
    <w:rsid w:val="00552B94"/>
    <w:rsid w:val="00552BA0"/>
    <w:rsid w:val="0055327E"/>
    <w:rsid w:val="005541D2"/>
    <w:rsid w:val="00556762"/>
    <w:rsid w:val="0055758F"/>
    <w:rsid w:val="00557BC0"/>
    <w:rsid w:val="005625B8"/>
    <w:rsid w:val="00565BC9"/>
    <w:rsid w:val="00567C2B"/>
    <w:rsid w:val="005710BF"/>
    <w:rsid w:val="0057160A"/>
    <w:rsid w:val="00571AD7"/>
    <w:rsid w:val="00573145"/>
    <w:rsid w:val="00573311"/>
    <w:rsid w:val="00574940"/>
    <w:rsid w:val="00574B0E"/>
    <w:rsid w:val="0057677A"/>
    <w:rsid w:val="0058372F"/>
    <w:rsid w:val="00583E56"/>
    <w:rsid w:val="005844F6"/>
    <w:rsid w:val="00584939"/>
    <w:rsid w:val="005857D9"/>
    <w:rsid w:val="00587599"/>
    <w:rsid w:val="0059057C"/>
    <w:rsid w:val="0059232F"/>
    <w:rsid w:val="00592508"/>
    <w:rsid w:val="005944BB"/>
    <w:rsid w:val="005946DA"/>
    <w:rsid w:val="00594ABD"/>
    <w:rsid w:val="00594D2E"/>
    <w:rsid w:val="00595FEF"/>
    <w:rsid w:val="00596BB2"/>
    <w:rsid w:val="00597A6A"/>
    <w:rsid w:val="005A3226"/>
    <w:rsid w:val="005A39A4"/>
    <w:rsid w:val="005A4102"/>
    <w:rsid w:val="005A5965"/>
    <w:rsid w:val="005A59F3"/>
    <w:rsid w:val="005A6D80"/>
    <w:rsid w:val="005A7BAD"/>
    <w:rsid w:val="005B05F2"/>
    <w:rsid w:val="005B15E5"/>
    <w:rsid w:val="005B1F46"/>
    <w:rsid w:val="005B59AB"/>
    <w:rsid w:val="005B6B13"/>
    <w:rsid w:val="005C4355"/>
    <w:rsid w:val="005C74D4"/>
    <w:rsid w:val="005C7861"/>
    <w:rsid w:val="005D401B"/>
    <w:rsid w:val="005D4202"/>
    <w:rsid w:val="005D6582"/>
    <w:rsid w:val="005D755F"/>
    <w:rsid w:val="005D7F86"/>
    <w:rsid w:val="005E0C43"/>
    <w:rsid w:val="005E47EC"/>
    <w:rsid w:val="005E4F4E"/>
    <w:rsid w:val="005E5379"/>
    <w:rsid w:val="005E78FA"/>
    <w:rsid w:val="005F0BA1"/>
    <w:rsid w:val="005F0FEE"/>
    <w:rsid w:val="005F4824"/>
    <w:rsid w:val="005F4F7A"/>
    <w:rsid w:val="005F636C"/>
    <w:rsid w:val="005F6593"/>
    <w:rsid w:val="005F736E"/>
    <w:rsid w:val="00600312"/>
    <w:rsid w:val="00600AE9"/>
    <w:rsid w:val="00601784"/>
    <w:rsid w:val="0060200C"/>
    <w:rsid w:val="0060214D"/>
    <w:rsid w:val="00602C42"/>
    <w:rsid w:val="00602EE7"/>
    <w:rsid w:val="006032FF"/>
    <w:rsid w:val="0060405E"/>
    <w:rsid w:val="00605B00"/>
    <w:rsid w:val="006067BB"/>
    <w:rsid w:val="006076CC"/>
    <w:rsid w:val="006079AB"/>
    <w:rsid w:val="0061028D"/>
    <w:rsid w:val="006127A8"/>
    <w:rsid w:val="006143BB"/>
    <w:rsid w:val="00614799"/>
    <w:rsid w:val="00614EF3"/>
    <w:rsid w:val="00616736"/>
    <w:rsid w:val="00617B66"/>
    <w:rsid w:val="00620830"/>
    <w:rsid w:val="0062259C"/>
    <w:rsid w:val="00622A8D"/>
    <w:rsid w:val="006243D8"/>
    <w:rsid w:val="00624AA2"/>
    <w:rsid w:val="00624BE2"/>
    <w:rsid w:val="00630372"/>
    <w:rsid w:val="006309D1"/>
    <w:rsid w:val="00630C3C"/>
    <w:rsid w:val="0063122F"/>
    <w:rsid w:val="00631DD9"/>
    <w:rsid w:val="0063222C"/>
    <w:rsid w:val="00633616"/>
    <w:rsid w:val="006343E6"/>
    <w:rsid w:val="00634BB8"/>
    <w:rsid w:val="00634CF0"/>
    <w:rsid w:val="006357EC"/>
    <w:rsid w:val="00637DF4"/>
    <w:rsid w:val="00641551"/>
    <w:rsid w:val="006415A2"/>
    <w:rsid w:val="00643F5A"/>
    <w:rsid w:val="00644FCE"/>
    <w:rsid w:val="0064510A"/>
    <w:rsid w:val="00645488"/>
    <w:rsid w:val="00645584"/>
    <w:rsid w:val="0064774B"/>
    <w:rsid w:val="00647C26"/>
    <w:rsid w:val="00650F3D"/>
    <w:rsid w:val="0065214A"/>
    <w:rsid w:val="006523BD"/>
    <w:rsid w:val="00652501"/>
    <w:rsid w:val="00654324"/>
    <w:rsid w:val="006565BE"/>
    <w:rsid w:val="0065696B"/>
    <w:rsid w:val="00656E33"/>
    <w:rsid w:val="00664EEA"/>
    <w:rsid w:val="00667FE6"/>
    <w:rsid w:val="006735F9"/>
    <w:rsid w:val="0067458A"/>
    <w:rsid w:val="006747A2"/>
    <w:rsid w:val="00674BAE"/>
    <w:rsid w:val="00676494"/>
    <w:rsid w:val="006768CE"/>
    <w:rsid w:val="006813A4"/>
    <w:rsid w:val="00681480"/>
    <w:rsid w:val="00681FC1"/>
    <w:rsid w:val="00682020"/>
    <w:rsid w:val="00684184"/>
    <w:rsid w:val="00686596"/>
    <w:rsid w:val="00686D43"/>
    <w:rsid w:val="00687A36"/>
    <w:rsid w:val="006919F5"/>
    <w:rsid w:val="00696093"/>
    <w:rsid w:val="00696B64"/>
    <w:rsid w:val="006A2806"/>
    <w:rsid w:val="006A28D9"/>
    <w:rsid w:val="006A2900"/>
    <w:rsid w:val="006A2ECD"/>
    <w:rsid w:val="006A6E61"/>
    <w:rsid w:val="006B21DD"/>
    <w:rsid w:val="006B26BD"/>
    <w:rsid w:val="006B2964"/>
    <w:rsid w:val="006B4B02"/>
    <w:rsid w:val="006B51D3"/>
    <w:rsid w:val="006B5BB4"/>
    <w:rsid w:val="006B5EE9"/>
    <w:rsid w:val="006C22BE"/>
    <w:rsid w:val="006C2560"/>
    <w:rsid w:val="006C2DC6"/>
    <w:rsid w:val="006C2DD2"/>
    <w:rsid w:val="006C576D"/>
    <w:rsid w:val="006C66EF"/>
    <w:rsid w:val="006C6F5B"/>
    <w:rsid w:val="006C7499"/>
    <w:rsid w:val="006C7862"/>
    <w:rsid w:val="006D172C"/>
    <w:rsid w:val="006D2ECF"/>
    <w:rsid w:val="006D3B4D"/>
    <w:rsid w:val="006D57E3"/>
    <w:rsid w:val="006D5D11"/>
    <w:rsid w:val="006D6570"/>
    <w:rsid w:val="006D73AB"/>
    <w:rsid w:val="006E0F79"/>
    <w:rsid w:val="006E1BE0"/>
    <w:rsid w:val="006E26FD"/>
    <w:rsid w:val="006E3910"/>
    <w:rsid w:val="006E40BF"/>
    <w:rsid w:val="006E4504"/>
    <w:rsid w:val="006E4D47"/>
    <w:rsid w:val="006E5571"/>
    <w:rsid w:val="006E6E27"/>
    <w:rsid w:val="006E70C9"/>
    <w:rsid w:val="006E7251"/>
    <w:rsid w:val="006E7574"/>
    <w:rsid w:val="006E7846"/>
    <w:rsid w:val="006F1A19"/>
    <w:rsid w:val="006F2273"/>
    <w:rsid w:val="006F2B8B"/>
    <w:rsid w:val="006F33D0"/>
    <w:rsid w:val="006F46DA"/>
    <w:rsid w:val="006F51EB"/>
    <w:rsid w:val="006F72A3"/>
    <w:rsid w:val="0070149B"/>
    <w:rsid w:val="007049B8"/>
    <w:rsid w:val="00704B64"/>
    <w:rsid w:val="00707A44"/>
    <w:rsid w:val="00707AEC"/>
    <w:rsid w:val="00707F2D"/>
    <w:rsid w:val="0071058E"/>
    <w:rsid w:val="00710E78"/>
    <w:rsid w:val="007113DE"/>
    <w:rsid w:val="00711E9C"/>
    <w:rsid w:val="007124E2"/>
    <w:rsid w:val="00713123"/>
    <w:rsid w:val="007133D1"/>
    <w:rsid w:val="0071381B"/>
    <w:rsid w:val="00713891"/>
    <w:rsid w:val="00716F9B"/>
    <w:rsid w:val="0072203E"/>
    <w:rsid w:val="007226CB"/>
    <w:rsid w:val="00722F6D"/>
    <w:rsid w:val="00723A9D"/>
    <w:rsid w:val="00723B7B"/>
    <w:rsid w:val="00726875"/>
    <w:rsid w:val="00732944"/>
    <w:rsid w:val="00734062"/>
    <w:rsid w:val="00735153"/>
    <w:rsid w:val="00735519"/>
    <w:rsid w:val="007357CA"/>
    <w:rsid w:val="00735D70"/>
    <w:rsid w:val="00736E5F"/>
    <w:rsid w:val="00737843"/>
    <w:rsid w:val="00737D5C"/>
    <w:rsid w:val="00740564"/>
    <w:rsid w:val="00740916"/>
    <w:rsid w:val="00740CA9"/>
    <w:rsid w:val="00741575"/>
    <w:rsid w:val="00741F1A"/>
    <w:rsid w:val="00742562"/>
    <w:rsid w:val="00743E37"/>
    <w:rsid w:val="00744A86"/>
    <w:rsid w:val="00744EF6"/>
    <w:rsid w:val="00745867"/>
    <w:rsid w:val="00745F97"/>
    <w:rsid w:val="00746D98"/>
    <w:rsid w:val="00747655"/>
    <w:rsid w:val="007526EB"/>
    <w:rsid w:val="007527D9"/>
    <w:rsid w:val="00753724"/>
    <w:rsid w:val="00753F8D"/>
    <w:rsid w:val="0075416B"/>
    <w:rsid w:val="007546CC"/>
    <w:rsid w:val="007549CB"/>
    <w:rsid w:val="00754F8A"/>
    <w:rsid w:val="00757427"/>
    <w:rsid w:val="007579E9"/>
    <w:rsid w:val="007615CB"/>
    <w:rsid w:val="0076201A"/>
    <w:rsid w:val="00762476"/>
    <w:rsid w:val="007624BA"/>
    <w:rsid w:val="007658BA"/>
    <w:rsid w:val="00765C92"/>
    <w:rsid w:val="007660CE"/>
    <w:rsid w:val="00771289"/>
    <w:rsid w:val="0077310E"/>
    <w:rsid w:val="007737A9"/>
    <w:rsid w:val="00774214"/>
    <w:rsid w:val="007747AA"/>
    <w:rsid w:val="00774DAE"/>
    <w:rsid w:val="00777406"/>
    <w:rsid w:val="0078061A"/>
    <w:rsid w:val="007815B8"/>
    <w:rsid w:val="007820EC"/>
    <w:rsid w:val="00782ABD"/>
    <w:rsid w:val="007837D9"/>
    <w:rsid w:val="007839E1"/>
    <w:rsid w:val="00784240"/>
    <w:rsid w:val="00784617"/>
    <w:rsid w:val="00784AF9"/>
    <w:rsid w:val="007864A4"/>
    <w:rsid w:val="0078772B"/>
    <w:rsid w:val="00787DAF"/>
    <w:rsid w:val="007926F2"/>
    <w:rsid w:val="00792AB2"/>
    <w:rsid w:val="00794583"/>
    <w:rsid w:val="007953F9"/>
    <w:rsid w:val="007958B8"/>
    <w:rsid w:val="007A1BFA"/>
    <w:rsid w:val="007A3359"/>
    <w:rsid w:val="007A53D0"/>
    <w:rsid w:val="007A5809"/>
    <w:rsid w:val="007A649D"/>
    <w:rsid w:val="007A721D"/>
    <w:rsid w:val="007A7A91"/>
    <w:rsid w:val="007B0D2A"/>
    <w:rsid w:val="007B0FA8"/>
    <w:rsid w:val="007B20B5"/>
    <w:rsid w:val="007B46AD"/>
    <w:rsid w:val="007B46E0"/>
    <w:rsid w:val="007B4E0C"/>
    <w:rsid w:val="007B7469"/>
    <w:rsid w:val="007B7DA3"/>
    <w:rsid w:val="007C1C01"/>
    <w:rsid w:val="007C2405"/>
    <w:rsid w:val="007C2F2A"/>
    <w:rsid w:val="007C470C"/>
    <w:rsid w:val="007C565A"/>
    <w:rsid w:val="007C6044"/>
    <w:rsid w:val="007C6A87"/>
    <w:rsid w:val="007C6ED6"/>
    <w:rsid w:val="007C7460"/>
    <w:rsid w:val="007D1D33"/>
    <w:rsid w:val="007D2484"/>
    <w:rsid w:val="007D32A8"/>
    <w:rsid w:val="007D426A"/>
    <w:rsid w:val="007D4981"/>
    <w:rsid w:val="007D5468"/>
    <w:rsid w:val="007D6FF0"/>
    <w:rsid w:val="007D7EF2"/>
    <w:rsid w:val="007E1540"/>
    <w:rsid w:val="007E2E0F"/>
    <w:rsid w:val="007E3032"/>
    <w:rsid w:val="007E4514"/>
    <w:rsid w:val="007E4B3A"/>
    <w:rsid w:val="007E4B83"/>
    <w:rsid w:val="007E7417"/>
    <w:rsid w:val="007F01AB"/>
    <w:rsid w:val="007F0B90"/>
    <w:rsid w:val="007F2437"/>
    <w:rsid w:val="007F2596"/>
    <w:rsid w:val="007F2A5D"/>
    <w:rsid w:val="007F4EE2"/>
    <w:rsid w:val="008000A7"/>
    <w:rsid w:val="008010CB"/>
    <w:rsid w:val="008028DC"/>
    <w:rsid w:val="008060CC"/>
    <w:rsid w:val="00806ED1"/>
    <w:rsid w:val="0080741D"/>
    <w:rsid w:val="00807FAC"/>
    <w:rsid w:val="00810586"/>
    <w:rsid w:val="00810848"/>
    <w:rsid w:val="008108FC"/>
    <w:rsid w:val="0081156D"/>
    <w:rsid w:val="00811F7E"/>
    <w:rsid w:val="0081219E"/>
    <w:rsid w:val="00812D31"/>
    <w:rsid w:val="00813E6C"/>
    <w:rsid w:val="00815C9D"/>
    <w:rsid w:val="00816BD5"/>
    <w:rsid w:val="00817CA0"/>
    <w:rsid w:val="00817EE0"/>
    <w:rsid w:val="00822192"/>
    <w:rsid w:val="00822888"/>
    <w:rsid w:val="008235A9"/>
    <w:rsid w:val="008248A8"/>
    <w:rsid w:val="00830953"/>
    <w:rsid w:val="0083149E"/>
    <w:rsid w:val="00831B42"/>
    <w:rsid w:val="008338FC"/>
    <w:rsid w:val="00835018"/>
    <w:rsid w:val="00835978"/>
    <w:rsid w:val="00836587"/>
    <w:rsid w:val="00837684"/>
    <w:rsid w:val="00842717"/>
    <w:rsid w:val="0084343F"/>
    <w:rsid w:val="00843F57"/>
    <w:rsid w:val="0084542B"/>
    <w:rsid w:val="008471ED"/>
    <w:rsid w:val="00847329"/>
    <w:rsid w:val="00850DB8"/>
    <w:rsid w:val="00853873"/>
    <w:rsid w:val="00853D40"/>
    <w:rsid w:val="0085471B"/>
    <w:rsid w:val="00855738"/>
    <w:rsid w:val="00856ACA"/>
    <w:rsid w:val="00856C35"/>
    <w:rsid w:val="00860F05"/>
    <w:rsid w:val="00861DF1"/>
    <w:rsid w:val="00863079"/>
    <w:rsid w:val="00863B3A"/>
    <w:rsid w:val="00863B65"/>
    <w:rsid w:val="00864636"/>
    <w:rsid w:val="0086602C"/>
    <w:rsid w:val="008660E9"/>
    <w:rsid w:val="0086689E"/>
    <w:rsid w:val="008705FF"/>
    <w:rsid w:val="0087081B"/>
    <w:rsid w:val="008712A3"/>
    <w:rsid w:val="00871330"/>
    <w:rsid w:val="0087147D"/>
    <w:rsid w:val="0087306F"/>
    <w:rsid w:val="008736B3"/>
    <w:rsid w:val="0087383C"/>
    <w:rsid w:val="0087387A"/>
    <w:rsid w:val="0087506E"/>
    <w:rsid w:val="00876E3F"/>
    <w:rsid w:val="008775B1"/>
    <w:rsid w:val="008804C7"/>
    <w:rsid w:val="0088120C"/>
    <w:rsid w:val="00882501"/>
    <w:rsid w:val="0088263E"/>
    <w:rsid w:val="00883755"/>
    <w:rsid w:val="008868AC"/>
    <w:rsid w:val="008869A7"/>
    <w:rsid w:val="00891BE8"/>
    <w:rsid w:val="0089403F"/>
    <w:rsid w:val="00895870"/>
    <w:rsid w:val="00896880"/>
    <w:rsid w:val="00896D5B"/>
    <w:rsid w:val="008A0AF4"/>
    <w:rsid w:val="008A2BF6"/>
    <w:rsid w:val="008A359D"/>
    <w:rsid w:val="008A496E"/>
    <w:rsid w:val="008A4E1D"/>
    <w:rsid w:val="008A7AD8"/>
    <w:rsid w:val="008B0A91"/>
    <w:rsid w:val="008B1181"/>
    <w:rsid w:val="008B2C0F"/>
    <w:rsid w:val="008B3272"/>
    <w:rsid w:val="008B3CB9"/>
    <w:rsid w:val="008B6687"/>
    <w:rsid w:val="008B6878"/>
    <w:rsid w:val="008B7129"/>
    <w:rsid w:val="008C0630"/>
    <w:rsid w:val="008C0693"/>
    <w:rsid w:val="008C08CA"/>
    <w:rsid w:val="008C13FC"/>
    <w:rsid w:val="008C1418"/>
    <w:rsid w:val="008C1824"/>
    <w:rsid w:val="008C2B4D"/>
    <w:rsid w:val="008C307F"/>
    <w:rsid w:val="008C7EA4"/>
    <w:rsid w:val="008D1E16"/>
    <w:rsid w:val="008D21C2"/>
    <w:rsid w:val="008D63D8"/>
    <w:rsid w:val="008E0E1C"/>
    <w:rsid w:val="008E2098"/>
    <w:rsid w:val="008E30A2"/>
    <w:rsid w:val="008E30CB"/>
    <w:rsid w:val="008E3766"/>
    <w:rsid w:val="008E3A22"/>
    <w:rsid w:val="008E558D"/>
    <w:rsid w:val="008E61AD"/>
    <w:rsid w:val="008E649A"/>
    <w:rsid w:val="008E7BAF"/>
    <w:rsid w:val="008F0330"/>
    <w:rsid w:val="008F0A22"/>
    <w:rsid w:val="008F293B"/>
    <w:rsid w:val="008F5621"/>
    <w:rsid w:val="008F66F0"/>
    <w:rsid w:val="008F7D72"/>
    <w:rsid w:val="009005B4"/>
    <w:rsid w:val="00900D51"/>
    <w:rsid w:val="00902E72"/>
    <w:rsid w:val="009058B7"/>
    <w:rsid w:val="009065B8"/>
    <w:rsid w:val="0090705A"/>
    <w:rsid w:val="009076BF"/>
    <w:rsid w:val="00910A2D"/>
    <w:rsid w:val="00910D09"/>
    <w:rsid w:val="00911445"/>
    <w:rsid w:val="009114E5"/>
    <w:rsid w:val="00912D54"/>
    <w:rsid w:val="00913508"/>
    <w:rsid w:val="00913B27"/>
    <w:rsid w:val="00916F45"/>
    <w:rsid w:val="0092164A"/>
    <w:rsid w:val="00921842"/>
    <w:rsid w:val="0092461F"/>
    <w:rsid w:val="00925097"/>
    <w:rsid w:val="00925226"/>
    <w:rsid w:val="009256DD"/>
    <w:rsid w:val="00925E38"/>
    <w:rsid w:val="009264F8"/>
    <w:rsid w:val="009268EB"/>
    <w:rsid w:val="009269F9"/>
    <w:rsid w:val="0092752B"/>
    <w:rsid w:val="00927583"/>
    <w:rsid w:val="0092765C"/>
    <w:rsid w:val="00931FCB"/>
    <w:rsid w:val="0093238E"/>
    <w:rsid w:val="009352DC"/>
    <w:rsid w:val="0093587E"/>
    <w:rsid w:val="00940582"/>
    <w:rsid w:val="009416F8"/>
    <w:rsid w:val="0094173C"/>
    <w:rsid w:val="00944EEB"/>
    <w:rsid w:val="009466BF"/>
    <w:rsid w:val="00946C38"/>
    <w:rsid w:val="009471D5"/>
    <w:rsid w:val="0095234B"/>
    <w:rsid w:val="00952435"/>
    <w:rsid w:val="00952AA9"/>
    <w:rsid w:val="00953064"/>
    <w:rsid w:val="009540DC"/>
    <w:rsid w:val="0095481A"/>
    <w:rsid w:val="0095599C"/>
    <w:rsid w:val="00956EB6"/>
    <w:rsid w:val="00962587"/>
    <w:rsid w:val="00963834"/>
    <w:rsid w:val="00963C9E"/>
    <w:rsid w:val="00963ED0"/>
    <w:rsid w:val="00965269"/>
    <w:rsid w:val="00966D28"/>
    <w:rsid w:val="00967476"/>
    <w:rsid w:val="00967ECE"/>
    <w:rsid w:val="00971108"/>
    <w:rsid w:val="009714A6"/>
    <w:rsid w:val="00973998"/>
    <w:rsid w:val="00974255"/>
    <w:rsid w:val="009742CD"/>
    <w:rsid w:val="009750ED"/>
    <w:rsid w:val="00976100"/>
    <w:rsid w:val="0098005F"/>
    <w:rsid w:val="00980AD6"/>
    <w:rsid w:val="00980C45"/>
    <w:rsid w:val="009823AF"/>
    <w:rsid w:val="009823C1"/>
    <w:rsid w:val="009849A8"/>
    <w:rsid w:val="00984F99"/>
    <w:rsid w:val="0098654D"/>
    <w:rsid w:val="0098666A"/>
    <w:rsid w:val="00990B8F"/>
    <w:rsid w:val="009914D4"/>
    <w:rsid w:val="00991786"/>
    <w:rsid w:val="00991C6B"/>
    <w:rsid w:val="0099224B"/>
    <w:rsid w:val="0099285F"/>
    <w:rsid w:val="00993725"/>
    <w:rsid w:val="00995CC1"/>
    <w:rsid w:val="009A03F5"/>
    <w:rsid w:val="009A243F"/>
    <w:rsid w:val="009A4DA0"/>
    <w:rsid w:val="009A668A"/>
    <w:rsid w:val="009A6C10"/>
    <w:rsid w:val="009A6F16"/>
    <w:rsid w:val="009A6F84"/>
    <w:rsid w:val="009B1078"/>
    <w:rsid w:val="009B1709"/>
    <w:rsid w:val="009B4453"/>
    <w:rsid w:val="009B4D9D"/>
    <w:rsid w:val="009C0186"/>
    <w:rsid w:val="009C029A"/>
    <w:rsid w:val="009C1FDD"/>
    <w:rsid w:val="009C24DE"/>
    <w:rsid w:val="009C34DE"/>
    <w:rsid w:val="009C39D4"/>
    <w:rsid w:val="009C49AE"/>
    <w:rsid w:val="009C62F2"/>
    <w:rsid w:val="009C741D"/>
    <w:rsid w:val="009D28C2"/>
    <w:rsid w:val="009D52A9"/>
    <w:rsid w:val="009D6463"/>
    <w:rsid w:val="009D64BD"/>
    <w:rsid w:val="009D7DDA"/>
    <w:rsid w:val="009E0DC1"/>
    <w:rsid w:val="009E331B"/>
    <w:rsid w:val="009E4415"/>
    <w:rsid w:val="009E5039"/>
    <w:rsid w:val="009F0C97"/>
    <w:rsid w:val="009F234F"/>
    <w:rsid w:val="009F3111"/>
    <w:rsid w:val="009F32D7"/>
    <w:rsid w:val="009F4200"/>
    <w:rsid w:val="009F6BF4"/>
    <w:rsid w:val="009F769F"/>
    <w:rsid w:val="009F7B72"/>
    <w:rsid w:val="009F7DF1"/>
    <w:rsid w:val="00A0151E"/>
    <w:rsid w:val="00A01E0F"/>
    <w:rsid w:val="00A0256B"/>
    <w:rsid w:val="00A038D0"/>
    <w:rsid w:val="00A039B5"/>
    <w:rsid w:val="00A045D2"/>
    <w:rsid w:val="00A04C8F"/>
    <w:rsid w:val="00A04FAE"/>
    <w:rsid w:val="00A05705"/>
    <w:rsid w:val="00A06AC1"/>
    <w:rsid w:val="00A12372"/>
    <w:rsid w:val="00A12919"/>
    <w:rsid w:val="00A20CF8"/>
    <w:rsid w:val="00A21634"/>
    <w:rsid w:val="00A23B98"/>
    <w:rsid w:val="00A25D5C"/>
    <w:rsid w:val="00A26636"/>
    <w:rsid w:val="00A26FB3"/>
    <w:rsid w:val="00A274BD"/>
    <w:rsid w:val="00A279B6"/>
    <w:rsid w:val="00A30F8F"/>
    <w:rsid w:val="00A31F1B"/>
    <w:rsid w:val="00A32C62"/>
    <w:rsid w:val="00A32EF1"/>
    <w:rsid w:val="00A3386B"/>
    <w:rsid w:val="00A36D8D"/>
    <w:rsid w:val="00A40F10"/>
    <w:rsid w:val="00A4171E"/>
    <w:rsid w:val="00A41889"/>
    <w:rsid w:val="00A41915"/>
    <w:rsid w:val="00A41DCB"/>
    <w:rsid w:val="00A42D1A"/>
    <w:rsid w:val="00A4469C"/>
    <w:rsid w:val="00A44AB4"/>
    <w:rsid w:val="00A457B8"/>
    <w:rsid w:val="00A45996"/>
    <w:rsid w:val="00A4599B"/>
    <w:rsid w:val="00A4631F"/>
    <w:rsid w:val="00A475FC"/>
    <w:rsid w:val="00A47C00"/>
    <w:rsid w:val="00A5129A"/>
    <w:rsid w:val="00A517A8"/>
    <w:rsid w:val="00A53EDB"/>
    <w:rsid w:val="00A54AC6"/>
    <w:rsid w:val="00A57E2D"/>
    <w:rsid w:val="00A60414"/>
    <w:rsid w:val="00A607F1"/>
    <w:rsid w:val="00A62376"/>
    <w:rsid w:val="00A65B20"/>
    <w:rsid w:val="00A662B6"/>
    <w:rsid w:val="00A66FCD"/>
    <w:rsid w:val="00A67040"/>
    <w:rsid w:val="00A67982"/>
    <w:rsid w:val="00A70737"/>
    <w:rsid w:val="00A72BC0"/>
    <w:rsid w:val="00A74038"/>
    <w:rsid w:val="00A751A8"/>
    <w:rsid w:val="00A754BE"/>
    <w:rsid w:val="00A7585B"/>
    <w:rsid w:val="00A75FD5"/>
    <w:rsid w:val="00A77CE1"/>
    <w:rsid w:val="00A80034"/>
    <w:rsid w:val="00A81F42"/>
    <w:rsid w:val="00A8274A"/>
    <w:rsid w:val="00A82CBC"/>
    <w:rsid w:val="00A84839"/>
    <w:rsid w:val="00A87145"/>
    <w:rsid w:val="00A87727"/>
    <w:rsid w:val="00A92B75"/>
    <w:rsid w:val="00A92C9A"/>
    <w:rsid w:val="00A932AF"/>
    <w:rsid w:val="00A938D5"/>
    <w:rsid w:val="00A93B31"/>
    <w:rsid w:val="00A9414E"/>
    <w:rsid w:val="00A951F9"/>
    <w:rsid w:val="00A971E0"/>
    <w:rsid w:val="00AA04E8"/>
    <w:rsid w:val="00AA0740"/>
    <w:rsid w:val="00AA14DF"/>
    <w:rsid w:val="00AA40B5"/>
    <w:rsid w:val="00AA4342"/>
    <w:rsid w:val="00AA474D"/>
    <w:rsid w:val="00AA6253"/>
    <w:rsid w:val="00AA69CC"/>
    <w:rsid w:val="00AA6A57"/>
    <w:rsid w:val="00AA7D6E"/>
    <w:rsid w:val="00AB193B"/>
    <w:rsid w:val="00AB1D95"/>
    <w:rsid w:val="00AB36F9"/>
    <w:rsid w:val="00AB37E3"/>
    <w:rsid w:val="00AB473E"/>
    <w:rsid w:val="00AB4ABF"/>
    <w:rsid w:val="00AB6BCD"/>
    <w:rsid w:val="00AB7824"/>
    <w:rsid w:val="00AC0B67"/>
    <w:rsid w:val="00AC1691"/>
    <w:rsid w:val="00AC4195"/>
    <w:rsid w:val="00AC4426"/>
    <w:rsid w:val="00AC581D"/>
    <w:rsid w:val="00AC670C"/>
    <w:rsid w:val="00AC6DE7"/>
    <w:rsid w:val="00AC6F94"/>
    <w:rsid w:val="00AC707A"/>
    <w:rsid w:val="00AC7214"/>
    <w:rsid w:val="00AC721A"/>
    <w:rsid w:val="00AC7CE7"/>
    <w:rsid w:val="00AC7D56"/>
    <w:rsid w:val="00AC7D87"/>
    <w:rsid w:val="00AD0733"/>
    <w:rsid w:val="00AD2D7C"/>
    <w:rsid w:val="00AD344D"/>
    <w:rsid w:val="00AD3ED1"/>
    <w:rsid w:val="00AD5241"/>
    <w:rsid w:val="00AD7794"/>
    <w:rsid w:val="00AE09D6"/>
    <w:rsid w:val="00AE17DE"/>
    <w:rsid w:val="00AE2C50"/>
    <w:rsid w:val="00AE4D96"/>
    <w:rsid w:val="00AE4F3F"/>
    <w:rsid w:val="00AE5263"/>
    <w:rsid w:val="00AE5BFB"/>
    <w:rsid w:val="00AE66CD"/>
    <w:rsid w:val="00AE6ED1"/>
    <w:rsid w:val="00AE7A47"/>
    <w:rsid w:val="00AF00C7"/>
    <w:rsid w:val="00AF0556"/>
    <w:rsid w:val="00AF0FB6"/>
    <w:rsid w:val="00AF2BB8"/>
    <w:rsid w:val="00AF4B07"/>
    <w:rsid w:val="00AF5881"/>
    <w:rsid w:val="00AF590B"/>
    <w:rsid w:val="00AF5C7B"/>
    <w:rsid w:val="00AF6B63"/>
    <w:rsid w:val="00B02C0B"/>
    <w:rsid w:val="00B0302C"/>
    <w:rsid w:val="00B03442"/>
    <w:rsid w:val="00B040BB"/>
    <w:rsid w:val="00B04733"/>
    <w:rsid w:val="00B0588D"/>
    <w:rsid w:val="00B0613C"/>
    <w:rsid w:val="00B067E1"/>
    <w:rsid w:val="00B103DE"/>
    <w:rsid w:val="00B10EDD"/>
    <w:rsid w:val="00B15251"/>
    <w:rsid w:val="00B16CD7"/>
    <w:rsid w:val="00B1784C"/>
    <w:rsid w:val="00B17E17"/>
    <w:rsid w:val="00B213AA"/>
    <w:rsid w:val="00B21E02"/>
    <w:rsid w:val="00B22027"/>
    <w:rsid w:val="00B24E2F"/>
    <w:rsid w:val="00B25A9A"/>
    <w:rsid w:val="00B25B7D"/>
    <w:rsid w:val="00B26DCE"/>
    <w:rsid w:val="00B26FEC"/>
    <w:rsid w:val="00B275AC"/>
    <w:rsid w:val="00B303F6"/>
    <w:rsid w:val="00B31CD9"/>
    <w:rsid w:val="00B31DC0"/>
    <w:rsid w:val="00B32322"/>
    <w:rsid w:val="00B32552"/>
    <w:rsid w:val="00B36360"/>
    <w:rsid w:val="00B37ED1"/>
    <w:rsid w:val="00B40DCF"/>
    <w:rsid w:val="00B432BE"/>
    <w:rsid w:val="00B43D09"/>
    <w:rsid w:val="00B45528"/>
    <w:rsid w:val="00B45BD7"/>
    <w:rsid w:val="00B46FD6"/>
    <w:rsid w:val="00B477B9"/>
    <w:rsid w:val="00B477E3"/>
    <w:rsid w:val="00B47CEE"/>
    <w:rsid w:val="00B50804"/>
    <w:rsid w:val="00B50EBD"/>
    <w:rsid w:val="00B518C2"/>
    <w:rsid w:val="00B52D32"/>
    <w:rsid w:val="00B537AC"/>
    <w:rsid w:val="00B53852"/>
    <w:rsid w:val="00B55CC4"/>
    <w:rsid w:val="00B56669"/>
    <w:rsid w:val="00B5748D"/>
    <w:rsid w:val="00B6195B"/>
    <w:rsid w:val="00B641F3"/>
    <w:rsid w:val="00B646A9"/>
    <w:rsid w:val="00B65B45"/>
    <w:rsid w:val="00B66480"/>
    <w:rsid w:val="00B670C1"/>
    <w:rsid w:val="00B709A0"/>
    <w:rsid w:val="00B71B98"/>
    <w:rsid w:val="00B72AAC"/>
    <w:rsid w:val="00B744FF"/>
    <w:rsid w:val="00B75FF1"/>
    <w:rsid w:val="00B76166"/>
    <w:rsid w:val="00B77642"/>
    <w:rsid w:val="00B840E2"/>
    <w:rsid w:val="00B84D8C"/>
    <w:rsid w:val="00B86E48"/>
    <w:rsid w:val="00B91735"/>
    <w:rsid w:val="00B91932"/>
    <w:rsid w:val="00B936BC"/>
    <w:rsid w:val="00B93B57"/>
    <w:rsid w:val="00B93CFF"/>
    <w:rsid w:val="00B94B35"/>
    <w:rsid w:val="00BA0B6B"/>
    <w:rsid w:val="00BA15E2"/>
    <w:rsid w:val="00BA234F"/>
    <w:rsid w:val="00BA279A"/>
    <w:rsid w:val="00BA2DE2"/>
    <w:rsid w:val="00BA4EC0"/>
    <w:rsid w:val="00BA5A01"/>
    <w:rsid w:val="00BA633A"/>
    <w:rsid w:val="00BA6B11"/>
    <w:rsid w:val="00BA7090"/>
    <w:rsid w:val="00BB0E76"/>
    <w:rsid w:val="00BB1087"/>
    <w:rsid w:val="00BB167E"/>
    <w:rsid w:val="00BB189A"/>
    <w:rsid w:val="00BB1DDF"/>
    <w:rsid w:val="00BB2BEF"/>
    <w:rsid w:val="00BB3F3E"/>
    <w:rsid w:val="00BB473B"/>
    <w:rsid w:val="00BC1168"/>
    <w:rsid w:val="00BC26A9"/>
    <w:rsid w:val="00BC3E28"/>
    <w:rsid w:val="00BC4D08"/>
    <w:rsid w:val="00BC6574"/>
    <w:rsid w:val="00BC7507"/>
    <w:rsid w:val="00BC7AB4"/>
    <w:rsid w:val="00BD0C84"/>
    <w:rsid w:val="00BD2189"/>
    <w:rsid w:val="00BD541D"/>
    <w:rsid w:val="00BD6C2C"/>
    <w:rsid w:val="00BD6C6D"/>
    <w:rsid w:val="00BE173E"/>
    <w:rsid w:val="00BE2E87"/>
    <w:rsid w:val="00BE303A"/>
    <w:rsid w:val="00BE6194"/>
    <w:rsid w:val="00BE66D3"/>
    <w:rsid w:val="00BE714A"/>
    <w:rsid w:val="00BF0E26"/>
    <w:rsid w:val="00BF1538"/>
    <w:rsid w:val="00BF1608"/>
    <w:rsid w:val="00BF2057"/>
    <w:rsid w:val="00BF3956"/>
    <w:rsid w:val="00BF634C"/>
    <w:rsid w:val="00BF6D29"/>
    <w:rsid w:val="00BF7943"/>
    <w:rsid w:val="00C0151C"/>
    <w:rsid w:val="00C01B8B"/>
    <w:rsid w:val="00C02672"/>
    <w:rsid w:val="00C07ED1"/>
    <w:rsid w:val="00C10BDF"/>
    <w:rsid w:val="00C10DA6"/>
    <w:rsid w:val="00C11356"/>
    <w:rsid w:val="00C11738"/>
    <w:rsid w:val="00C117DB"/>
    <w:rsid w:val="00C1185B"/>
    <w:rsid w:val="00C12CFD"/>
    <w:rsid w:val="00C144F7"/>
    <w:rsid w:val="00C14A7F"/>
    <w:rsid w:val="00C14FBB"/>
    <w:rsid w:val="00C16356"/>
    <w:rsid w:val="00C17CD5"/>
    <w:rsid w:val="00C2067A"/>
    <w:rsid w:val="00C214FC"/>
    <w:rsid w:val="00C216F7"/>
    <w:rsid w:val="00C21C1C"/>
    <w:rsid w:val="00C2224F"/>
    <w:rsid w:val="00C223C9"/>
    <w:rsid w:val="00C22C44"/>
    <w:rsid w:val="00C2389F"/>
    <w:rsid w:val="00C24282"/>
    <w:rsid w:val="00C24BE3"/>
    <w:rsid w:val="00C24C38"/>
    <w:rsid w:val="00C258EB"/>
    <w:rsid w:val="00C33AD1"/>
    <w:rsid w:val="00C341AD"/>
    <w:rsid w:val="00C3490B"/>
    <w:rsid w:val="00C36EFA"/>
    <w:rsid w:val="00C4443C"/>
    <w:rsid w:val="00C502D1"/>
    <w:rsid w:val="00C5049C"/>
    <w:rsid w:val="00C505E2"/>
    <w:rsid w:val="00C50DDC"/>
    <w:rsid w:val="00C50E3E"/>
    <w:rsid w:val="00C512CD"/>
    <w:rsid w:val="00C522A9"/>
    <w:rsid w:val="00C5245C"/>
    <w:rsid w:val="00C5250C"/>
    <w:rsid w:val="00C53160"/>
    <w:rsid w:val="00C532A0"/>
    <w:rsid w:val="00C53325"/>
    <w:rsid w:val="00C5600C"/>
    <w:rsid w:val="00C565FE"/>
    <w:rsid w:val="00C566D7"/>
    <w:rsid w:val="00C61CDB"/>
    <w:rsid w:val="00C62D8D"/>
    <w:rsid w:val="00C651D4"/>
    <w:rsid w:val="00C6659C"/>
    <w:rsid w:val="00C673A9"/>
    <w:rsid w:val="00C67A38"/>
    <w:rsid w:val="00C716B6"/>
    <w:rsid w:val="00C74995"/>
    <w:rsid w:val="00C77E55"/>
    <w:rsid w:val="00C8013B"/>
    <w:rsid w:val="00C8028E"/>
    <w:rsid w:val="00C81263"/>
    <w:rsid w:val="00C83406"/>
    <w:rsid w:val="00C83D07"/>
    <w:rsid w:val="00C85672"/>
    <w:rsid w:val="00C85D10"/>
    <w:rsid w:val="00C87F8A"/>
    <w:rsid w:val="00C90092"/>
    <w:rsid w:val="00C9090C"/>
    <w:rsid w:val="00C90BC3"/>
    <w:rsid w:val="00C924B1"/>
    <w:rsid w:val="00C93C36"/>
    <w:rsid w:val="00C950B2"/>
    <w:rsid w:val="00C956E4"/>
    <w:rsid w:val="00C9578D"/>
    <w:rsid w:val="00C96066"/>
    <w:rsid w:val="00C96376"/>
    <w:rsid w:val="00CA0F73"/>
    <w:rsid w:val="00CA1844"/>
    <w:rsid w:val="00CA265E"/>
    <w:rsid w:val="00CA3583"/>
    <w:rsid w:val="00CA58A0"/>
    <w:rsid w:val="00CA6480"/>
    <w:rsid w:val="00CA68DC"/>
    <w:rsid w:val="00CB05A7"/>
    <w:rsid w:val="00CB2A1F"/>
    <w:rsid w:val="00CB4C56"/>
    <w:rsid w:val="00CB63B4"/>
    <w:rsid w:val="00CB715B"/>
    <w:rsid w:val="00CB76CC"/>
    <w:rsid w:val="00CB7E4C"/>
    <w:rsid w:val="00CC0290"/>
    <w:rsid w:val="00CC140C"/>
    <w:rsid w:val="00CC24BA"/>
    <w:rsid w:val="00CC4214"/>
    <w:rsid w:val="00CC57A1"/>
    <w:rsid w:val="00CC5EC5"/>
    <w:rsid w:val="00CD0AF9"/>
    <w:rsid w:val="00CD16AC"/>
    <w:rsid w:val="00CD2FEC"/>
    <w:rsid w:val="00CD4C1D"/>
    <w:rsid w:val="00CD4E99"/>
    <w:rsid w:val="00CE32F8"/>
    <w:rsid w:val="00CE40A8"/>
    <w:rsid w:val="00CE4C0E"/>
    <w:rsid w:val="00CE4C9A"/>
    <w:rsid w:val="00CE5528"/>
    <w:rsid w:val="00CE5F61"/>
    <w:rsid w:val="00CE6526"/>
    <w:rsid w:val="00CE76C8"/>
    <w:rsid w:val="00CE7D88"/>
    <w:rsid w:val="00CF30D0"/>
    <w:rsid w:val="00CF4D89"/>
    <w:rsid w:val="00CF59F5"/>
    <w:rsid w:val="00CF5C29"/>
    <w:rsid w:val="00D001AA"/>
    <w:rsid w:val="00D04758"/>
    <w:rsid w:val="00D05316"/>
    <w:rsid w:val="00D05B4E"/>
    <w:rsid w:val="00D074C4"/>
    <w:rsid w:val="00D075C4"/>
    <w:rsid w:val="00D0796E"/>
    <w:rsid w:val="00D10B3F"/>
    <w:rsid w:val="00D1124B"/>
    <w:rsid w:val="00D13469"/>
    <w:rsid w:val="00D15B65"/>
    <w:rsid w:val="00D201FA"/>
    <w:rsid w:val="00D21DDB"/>
    <w:rsid w:val="00D21E0B"/>
    <w:rsid w:val="00D2365C"/>
    <w:rsid w:val="00D24F7F"/>
    <w:rsid w:val="00D2514D"/>
    <w:rsid w:val="00D26CAE"/>
    <w:rsid w:val="00D26F63"/>
    <w:rsid w:val="00D27FAB"/>
    <w:rsid w:val="00D30F6F"/>
    <w:rsid w:val="00D31356"/>
    <w:rsid w:val="00D340EE"/>
    <w:rsid w:val="00D365B0"/>
    <w:rsid w:val="00D36CB7"/>
    <w:rsid w:val="00D36D49"/>
    <w:rsid w:val="00D3789B"/>
    <w:rsid w:val="00D401E4"/>
    <w:rsid w:val="00D4129D"/>
    <w:rsid w:val="00D41481"/>
    <w:rsid w:val="00D4338D"/>
    <w:rsid w:val="00D4456F"/>
    <w:rsid w:val="00D4526C"/>
    <w:rsid w:val="00D45291"/>
    <w:rsid w:val="00D46093"/>
    <w:rsid w:val="00D47A90"/>
    <w:rsid w:val="00D5052A"/>
    <w:rsid w:val="00D51D78"/>
    <w:rsid w:val="00D51E03"/>
    <w:rsid w:val="00D5586C"/>
    <w:rsid w:val="00D57673"/>
    <w:rsid w:val="00D63F9F"/>
    <w:rsid w:val="00D66D80"/>
    <w:rsid w:val="00D70F2E"/>
    <w:rsid w:val="00D71093"/>
    <w:rsid w:val="00D727AB"/>
    <w:rsid w:val="00D72F99"/>
    <w:rsid w:val="00D734D6"/>
    <w:rsid w:val="00D75F93"/>
    <w:rsid w:val="00D768CB"/>
    <w:rsid w:val="00D775B9"/>
    <w:rsid w:val="00D778A6"/>
    <w:rsid w:val="00D80780"/>
    <w:rsid w:val="00D80BF4"/>
    <w:rsid w:val="00D84CD7"/>
    <w:rsid w:val="00D85677"/>
    <w:rsid w:val="00D86CF1"/>
    <w:rsid w:val="00D9084D"/>
    <w:rsid w:val="00D94561"/>
    <w:rsid w:val="00D96C5A"/>
    <w:rsid w:val="00DA13DB"/>
    <w:rsid w:val="00DA47AB"/>
    <w:rsid w:val="00DA499B"/>
    <w:rsid w:val="00DA4E78"/>
    <w:rsid w:val="00DA685E"/>
    <w:rsid w:val="00DA7BD3"/>
    <w:rsid w:val="00DB0EEF"/>
    <w:rsid w:val="00DB119F"/>
    <w:rsid w:val="00DB2011"/>
    <w:rsid w:val="00DB262A"/>
    <w:rsid w:val="00DB4E11"/>
    <w:rsid w:val="00DC0827"/>
    <w:rsid w:val="00DC13B3"/>
    <w:rsid w:val="00DC153A"/>
    <w:rsid w:val="00DC1EE5"/>
    <w:rsid w:val="00DC265A"/>
    <w:rsid w:val="00DC370C"/>
    <w:rsid w:val="00DC4D71"/>
    <w:rsid w:val="00DC5A81"/>
    <w:rsid w:val="00DC672D"/>
    <w:rsid w:val="00DC6E00"/>
    <w:rsid w:val="00DC71C5"/>
    <w:rsid w:val="00DD0088"/>
    <w:rsid w:val="00DD10F5"/>
    <w:rsid w:val="00DD1C5F"/>
    <w:rsid w:val="00DD1CDD"/>
    <w:rsid w:val="00DD2FC5"/>
    <w:rsid w:val="00DD33DD"/>
    <w:rsid w:val="00DD4BB1"/>
    <w:rsid w:val="00DD4E7F"/>
    <w:rsid w:val="00DD530C"/>
    <w:rsid w:val="00DD579F"/>
    <w:rsid w:val="00DD5BFD"/>
    <w:rsid w:val="00DD65B3"/>
    <w:rsid w:val="00DD7A73"/>
    <w:rsid w:val="00DE022F"/>
    <w:rsid w:val="00DE0CAE"/>
    <w:rsid w:val="00DE2009"/>
    <w:rsid w:val="00DE2016"/>
    <w:rsid w:val="00DE439E"/>
    <w:rsid w:val="00DE6EA8"/>
    <w:rsid w:val="00DE6FF0"/>
    <w:rsid w:val="00DE7177"/>
    <w:rsid w:val="00DF0A69"/>
    <w:rsid w:val="00DF15EA"/>
    <w:rsid w:val="00DF3432"/>
    <w:rsid w:val="00DF3541"/>
    <w:rsid w:val="00DF6585"/>
    <w:rsid w:val="00DF7E9A"/>
    <w:rsid w:val="00E00497"/>
    <w:rsid w:val="00E01239"/>
    <w:rsid w:val="00E019F1"/>
    <w:rsid w:val="00E0248D"/>
    <w:rsid w:val="00E03504"/>
    <w:rsid w:val="00E04BA7"/>
    <w:rsid w:val="00E05874"/>
    <w:rsid w:val="00E05E44"/>
    <w:rsid w:val="00E06631"/>
    <w:rsid w:val="00E0721C"/>
    <w:rsid w:val="00E11F79"/>
    <w:rsid w:val="00E12BBB"/>
    <w:rsid w:val="00E13ED4"/>
    <w:rsid w:val="00E14B25"/>
    <w:rsid w:val="00E14DDA"/>
    <w:rsid w:val="00E15D1B"/>
    <w:rsid w:val="00E16843"/>
    <w:rsid w:val="00E2356F"/>
    <w:rsid w:val="00E23C72"/>
    <w:rsid w:val="00E258FD"/>
    <w:rsid w:val="00E26414"/>
    <w:rsid w:val="00E275D3"/>
    <w:rsid w:val="00E30139"/>
    <w:rsid w:val="00E301C1"/>
    <w:rsid w:val="00E33AC5"/>
    <w:rsid w:val="00E36C9A"/>
    <w:rsid w:val="00E373F6"/>
    <w:rsid w:val="00E3748A"/>
    <w:rsid w:val="00E377A9"/>
    <w:rsid w:val="00E40CFF"/>
    <w:rsid w:val="00E43DA7"/>
    <w:rsid w:val="00E454A5"/>
    <w:rsid w:val="00E471E7"/>
    <w:rsid w:val="00E4750A"/>
    <w:rsid w:val="00E50051"/>
    <w:rsid w:val="00E51128"/>
    <w:rsid w:val="00E51FAF"/>
    <w:rsid w:val="00E5288F"/>
    <w:rsid w:val="00E52D99"/>
    <w:rsid w:val="00E53894"/>
    <w:rsid w:val="00E54E55"/>
    <w:rsid w:val="00E55BA9"/>
    <w:rsid w:val="00E55FAA"/>
    <w:rsid w:val="00E56DC8"/>
    <w:rsid w:val="00E57ADF"/>
    <w:rsid w:val="00E607EE"/>
    <w:rsid w:val="00E63EF3"/>
    <w:rsid w:val="00E644C2"/>
    <w:rsid w:val="00E64E51"/>
    <w:rsid w:val="00E67A75"/>
    <w:rsid w:val="00E70FF8"/>
    <w:rsid w:val="00E71D28"/>
    <w:rsid w:val="00E72385"/>
    <w:rsid w:val="00E73171"/>
    <w:rsid w:val="00E75812"/>
    <w:rsid w:val="00E7583D"/>
    <w:rsid w:val="00E76238"/>
    <w:rsid w:val="00E7654F"/>
    <w:rsid w:val="00E77CD3"/>
    <w:rsid w:val="00E77D0C"/>
    <w:rsid w:val="00E83F18"/>
    <w:rsid w:val="00E84B3B"/>
    <w:rsid w:val="00E90403"/>
    <w:rsid w:val="00E9062A"/>
    <w:rsid w:val="00E911D0"/>
    <w:rsid w:val="00E937B1"/>
    <w:rsid w:val="00E9423E"/>
    <w:rsid w:val="00E94D2B"/>
    <w:rsid w:val="00E95E05"/>
    <w:rsid w:val="00E96206"/>
    <w:rsid w:val="00EA0E22"/>
    <w:rsid w:val="00EA1CB9"/>
    <w:rsid w:val="00EA2D67"/>
    <w:rsid w:val="00EA3306"/>
    <w:rsid w:val="00EA3FD6"/>
    <w:rsid w:val="00EA4736"/>
    <w:rsid w:val="00EA4BCF"/>
    <w:rsid w:val="00EA4C6D"/>
    <w:rsid w:val="00EA55EF"/>
    <w:rsid w:val="00EA5ACB"/>
    <w:rsid w:val="00EA61D0"/>
    <w:rsid w:val="00EB0A00"/>
    <w:rsid w:val="00EB2BF7"/>
    <w:rsid w:val="00EB2C23"/>
    <w:rsid w:val="00EB2EA1"/>
    <w:rsid w:val="00EB3BF1"/>
    <w:rsid w:val="00EB3F7A"/>
    <w:rsid w:val="00EB4EF0"/>
    <w:rsid w:val="00EB50DD"/>
    <w:rsid w:val="00EB5A3D"/>
    <w:rsid w:val="00EB7A3E"/>
    <w:rsid w:val="00EB7D55"/>
    <w:rsid w:val="00EC119A"/>
    <w:rsid w:val="00EC248C"/>
    <w:rsid w:val="00EC3349"/>
    <w:rsid w:val="00EC344E"/>
    <w:rsid w:val="00EC3C70"/>
    <w:rsid w:val="00EC5383"/>
    <w:rsid w:val="00EC5A0A"/>
    <w:rsid w:val="00EC7978"/>
    <w:rsid w:val="00ED0344"/>
    <w:rsid w:val="00ED0416"/>
    <w:rsid w:val="00ED0B43"/>
    <w:rsid w:val="00ED113A"/>
    <w:rsid w:val="00ED5ED4"/>
    <w:rsid w:val="00ED6337"/>
    <w:rsid w:val="00ED6737"/>
    <w:rsid w:val="00EE0F1E"/>
    <w:rsid w:val="00EE187F"/>
    <w:rsid w:val="00EE1B6B"/>
    <w:rsid w:val="00EE40FF"/>
    <w:rsid w:val="00EE4248"/>
    <w:rsid w:val="00EE443F"/>
    <w:rsid w:val="00EE6112"/>
    <w:rsid w:val="00EE73D1"/>
    <w:rsid w:val="00EE7E9D"/>
    <w:rsid w:val="00EF060E"/>
    <w:rsid w:val="00EF0BBA"/>
    <w:rsid w:val="00EF0D8B"/>
    <w:rsid w:val="00EF1C15"/>
    <w:rsid w:val="00EF5AC4"/>
    <w:rsid w:val="00EF68B3"/>
    <w:rsid w:val="00EF76AF"/>
    <w:rsid w:val="00F00884"/>
    <w:rsid w:val="00F0316F"/>
    <w:rsid w:val="00F039B9"/>
    <w:rsid w:val="00F04F3E"/>
    <w:rsid w:val="00F06E34"/>
    <w:rsid w:val="00F07522"/>
    <w:rsid w:val="00F10FB3"/>
    <w:rsid w:val="00F11C35"/>
    <w:rsid w:val="00F11FC1"/>
    <w:rsid w:val="00F1254F"/>
    <w:rsid w:val="00F12B89"/>
    <w:rsid w:val="00F15C1C"/>
    <w:rsid w:val="00F20CB9"/>
    <w:rsid w:val="00F215E8"/>
    <w:rsid w:val="00F22A93"/>
    <w:rsid w:val="00F23698"/>
    <w:rsid w:val="00F23D7E"/>
    <w:rsid w:val="00F26996"/>
    <w:rsid w:val="00F26F56"/>
    <w:rsid w:val="00F27A36"/>
    <w:rsid w:val="00F3036C"/>
    <w:rsid w:val="00F30459"/>
    <w:rsid w:val="00F308EC"/>
    <w:rsid w:val="00F3188C"/>
    <w:rsid w:val="00F3319A"/>
    <w:rsid w:val="00F340FE"/>
    <w:rsid w:val="00F35FAB"/>
    <w:rsid w:val="00F36168"/>
    <w:rsid w:val="00F36620"/>
    <w:rsid w:val="00F40C1E"/>
    <w:rsid w:val="00F41C57"/>
    <w:rsid w:val="00F41DC1"/>
    <w:rsid w:val="00F4225F"/>
    <w:rsid w:val="00F42DEE"/>
    <w:rsid w:val="00F431C1"/>
    <w:rsid w:val="00F44B41"/>
    <w:rsid w:val="00F47069"/>
    <w:rsid w:val="00F47B40"/>
    <w:rsid w:val="00F500E3"/>
    <w:rsid w:val="00F50342"/>
    <w:rsid w:val="00F52AE2"/>
    <w:rsid w:val="00F533FD"/>
    <w:rsid w:val="00F53646"/>
    <w:rsid w:val="00F54CE2"/>
    <w:rsid w:val="00F553E4"/>
    <w:rsid w:val="00F55B83"/>
    <w:rsid w:val="00F55D78"/>
    <w:rsid w:val="00F57F36"/>
    <w:rsid w:val="00F60AEB"/>
    <w:rsid w:val="00F60E73"/>
    <w:rsid w:val="00F628CC"/>
    <w:rsid w:val="00F65015"/>
    <w:rsid w:val="00F653FD"/>
    <w:rsid w:val="00F6704C"/>
    <w:rsid w:val="00F673CE"/>
    <w:rsid w:val="00F71458"/>
    <w:rsid w:val="00F71760"/>
    <w:rsid w:val="00F7322C"/>
    <w:rsid w:val="00F76280"/>
    <w:rsid w:val="00F77D22"/>
    <w:rsid w:val="00F81F13"/>
    <w:rsid w:val="00F830CF"/>
    <w:rsid w:val="00F833E7"/>
    <w:rsid w:val="00F83816"/>
    <w:rsid w:val="00F85214"/>
    <w:rsid w:val="00F8633C"/>
    <w:rsid w:val="00F8700A"/>
    <w:rsid w:val="00F870ED"/>
    <w:rsid w:val="00F914DC"/>
    <w:rsid w:val="00F94174"/>
    <w:rsid w:val="00F94A64"/>
    <w:rsid w:val="00F95620"/>
    <w:rsid w:val="00F964C1"/>
    <w:rsid w:val="00F969D4"/>
    <w:rsid w:val="00F972C4"/>
    <w:rsid w:val="00F974BF"/>
    <w:rsid w:val="00F97865"/>
    <w:rsid w:val="00F97BA9"/>
    <w:rsid w:val="00FA298D"/>
    <w:rsid w:val="00FA5049"/>
    <w:rsid w:val="00FA59B1"/>
    <w:rsid w:val="00FA6F4E"/>
    <w:rsid w:val="00FB096D"/>
    <w:rsid w:val="00FB16F1"/>
    <w:rsid w:val="00FB2510"/>
    <w:rsid w:val="00FB2754"/>
    <w:rsid w:val="00FB2A13"/>
    <w:rsid w:val="00FB32FF"/>
    <w:rsid w:val="00FB34A3"/>
    <w:rsid w:val="00FB3D09"/>
    <w:rsid w:val="00FB4B0B"/>
    <w:rsid w:val="00FB65B0"/>
    <w:rsid w:val="00FC17CD"/>
    <w:rsid w:val="00FC19CE"/>
    <w:rsid w:val="00FC6E6B"/>
    <w:rsid w:val="00FC750B"/>
    <w:rsid w:val="00FC777D"/>
    <w:rsid w:val="00FC7799"/>
    <w:rsid w:val="00FC7C31"/>
    <w:rsid w:val="00FD143F"/>
    <w:rsid w:val="00FD256E"/>
    <w:rsid w:val="00FD366F"/>
    <w:rsid w:val="00FD427D"/>
    <w:rsid w:val="00FD4770"/>
    <w:rsid w:val="00FD4E01"/>
    <w:rsid w:val="00FD5F7D"/>
    <w:rsid w:val="00FD62A2"/>
    <w:rsid w:val="00FD757F"/>
    <w:rsid w:val="00FD7E8E"/>
    <w:rsid w:val="00FE052A"/>
    <w:rsid w:val="00FE2E92"/>
    <w:rsid w:val="00FE2EE0"/>
    <w:rsid w:val="00FE306D"/>
    <w:rsid w:val="00FE4D9E"/>
    <w:rsid w:val="00FE60E6"/>
    <w:rsid w:val="00FF0AE0"/>
    <w:rsid w:val="00FF649B"/>
    <w:rsid w:val="00FF6CDA"/>
    <w:rsid w:val="00FF70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5105">
      <o:colormenu v:ext="edit" strokecolor="red"/>
    </o:shapedefaults>
    <o:shapelayout v:ext="edit">
      <o:idmap v:ext="edit" data="1"/>
      <o:regrouptable v:ext="edit">
        <o:entry new="1" old="0"/>
      </o:regrouptable>
    </o:shapelayout>
  </w:shapeDefaults>
  <w:decimalSymbol w:val="."/>
  <w:listSeparator w:val=","/>
  <w14:docId w14:val="13EAB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8274A"/>
  </w:style>
  <w:style w:type="paragraph" w:styleId="Heading1">
    <w:name w:val="heading 1"/>
    <w:basedOn w:val="Normal"/>
    <w:next w:val="Normal"/>
    <w:qFormat/>
    <w:rsid w:val="00A8274A"/>
    <w:pPr>
      <w:keepNext/>
      <w:spacing w:after="120"/>
      <w:ind w:left="634"/>
      <w:outlineLvl w:val="0"/>
    </w:pPr>
    <w:rPr>
      <w:sz w:val="28"/>
    </w:rPr>
  </w:style>
  <w:style w:type="paragraph" w:styleId="Heading2">
    <w:name w:val="heading 2"/>
    <w:basedOn w:val="Normal"/>
    <w:next w:val="Normal"/>
    <w:qFormat/>
    <w:rsid w:val="00A8274A"/>
    <w:pPr>
      <w:keepNext/>
      <w:ind w:left="630"/>
      <w:outlineLvl w:val="1"/>
    </w:pPr>
    <w:rPr>
      <w:i/>
      <w:sz w:val="23"/>
    </w:rPr>
  </w:style>
  <w:style w:type="paragraph" w:styleId="Heading3">
    <w:name w:val="heading 3"/>
    <w:basedOn w:val="Normal"/>
    <w:next w:val="Normal"/>
    <w:qFormat/>
    <w:rsid w:val="00A8274A"/>
    <w:pPr>
      <w:keepNext/>
      <w:jc w:val="center"/>
      <w:outlineLvl w:val="2"/>
    </w:pPr>
    <w:rPr>
      <w:sz w:val="28"/>
    </w:rPr>
  </w:style>
  <w:style w:type="paragraph" w:styleId="Heading4">
    <w:name w:val="heading 4"/>
    <w:basedOn w:val="Normal"/>
    <w:next w:val="Normal"/>
    <w:qFormat/>
    <w:rsid w:val="00A8274A"/>
    <w:pPr>
      <w:keepNext/>
      <w:jc w:val="center"/>
      <w:outlineLvl w:val="3"/>
    </w:pPr>
    <w:rPr>
      <w:b/>
      <w:sz w:val="22"/>
    </w:rPr>
  </w:style>
  <w:style w:type="paragraph" w:styleId="Heading5">
    <w:name w:val="heading 5"/>
    <w:basedOn w:val="Normal"/>
    <w:next w:val="Normal"/>
    <w:qFormat/>
    <w:rsid w:val="00A8274A"/>
    <w:pPr>
      <w:keepNext/>
      <w:spacing w:after="120"/>
      <w:ind w:left="720"/>
      <w:outlineLvl w:val="4"/>
    </w:pPr>
    <w:rPr>
      <w:b/>
      <w:sz w:val="22"/>
    </w:rPr>
  </w:style>
  <w:style w:type="paragraph" w:styleId="Heading6">
    <w:name w:val="heading 6"/>
    <w:basedOn w:val="Normal"/>
    <w:next w:val="Normal"/>
    <w:qFormat/>
    <w:rsid w:val="00A8274A"/>
    <w:pPr>
      <w:keepNext/>
      <w:jc w:val="center"/>
      <w:outlineLvl w:val="5"/>
    </w:pPr>
    <w:rPr>
      <w:b/>
      <w:sz w:val="24"/>
    </w:rPr>
  </w:style>
  <w:style w:type="paragraph" w:styleId="Heading7">
    <w:name w:val="heading 7"/>
    <w:basedOn w:val="Normal"/>
    <w:next w:val="Normal"/>
    <w:qFormat/>
    <w:rsid w:val="00A8274A"/>
    <w:pPr>
      <w:keepNext/>
      <w:tabs>
        <w:tab w:val="right" w:pos="9648"/>
      </w:tabs>
      <w:spacing w:after="120" w:line="240" w:lineRule="exact"/>
      <w:ind w:left="630"/>
      <w:outlineLvl w:val="6"/>
    </w:pPr>
    <w:rPr>
      <w:b/>
      <w:sz w:val="22"/>
    </w:rPr>
  </w:style>
  <w:style w:type="paragraph" w:styleId="Heading8">
    <w:name w:val="heading 8"/>
    <w:basedOn w:val="Normal"/>
    <w:next w:val="Normal"/>
    <w:qFormat/>
    <w:rsid w:val="00A8274A"/>
    <w:pPr>
      <w:keepNext/>
      <w:spacing w:after="120"/>
      <w:outlineLvl w:val="7"/>
    </w:pPr>
    <w:rPr>
      <w:b/>
      <w:caps/>
      <w:sz w:val="22"/>
    </w:rPr>
  </w:style>
  <w:style w:type="paragraph" w:styleId="Heading9">
    <w:name w:val="heading 9"/>
    <w:basedOn w:val="Normal"/>
    <w:next w:val="Normal"/>
    <w:qFormat/>
    <w:rsid w:val="00A8274A"/>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A8274A"/>
    <w:rPr>
      <w:vertAlign w:val="superscript"/>
    </w:rPr>
  </w:style>
  <w:style w:type="paragraph" w:styleId="Header">
    <w:name w:val="header"/>
    <w:basedOn w:val="Normal"/>
    <w:link w:val="HeaderChar"/>
    <w:rsid w:val="00A8274A"/>
    <w:pPr>
      <w:tabs>
        <w:tab w:val="center" w:pos="4320"/>
        <w:tab w:val="right" w:pos="8640"/>
      </w:tabs>
    </w:pPr>
  </w:style>
  <w:style w:type="character" w:styleId="PageNumber">
    <w:name w:val="page number"/>
    <w:basedOn w:val="DefaultParagraphFont"/>
    <w:rsid w:val="00A8274A"/>
  </w:style>
  <w:style w:type="paragraph" w:styleId="Footer">
    <w:name w:val="footer"/>
    <w:basedOn w:val="Normal"/>
    <w:link w:val="FooterChar"/>
    <w:uiPriority w:val="99"/>
    <w:rsid w:val="00A8274A"/>
    <w:pPr>
      <w:tabs>
        <w:tab w:val="center" w:pos="4320"/>
        <w:tab w:val="right" w:pos="8640"/>
      </w:tabs>
    </w:pPr>
  </w:style>
  <w:style w:type="paragraph" w:styleId="BodyTextIndent">
    <w:name w:val="Body Text Indent"/>
    <w:basedOn w:val="Normal"/>
    <w:rsid w:val="00A8274A"/>
    <w:pPr>
      <w:spacing w:after="120"/>
      <w:ind w:left="634"/>
    </w:pPr>
    <w:rPr>
      <w:sz w:val="24"/>
    </w:rPr>
  </w:style>
  <w:style w:type="paragraph" w:styleId="BodyTextIndent2">
    <w:name w:val="Body Text Indent 2"/>
    <w:basedOn w:val="Normal"/>
    <w:rsid w:val="00A8274A"/>
    <w:pPr>
      <w:tabs>
        <w:tab w:val="left" w:pos="630"/>
      </w:tabs>
      <w:spacing w:after="120"/>
      <w:ind w:left="630"/>
    </w:pPr>
    <w:rPr>
      <w:sz w:val="24"/>
    </w:rPr>
  </w:style>
  <w:style w:type="paragraph" w:styleId="BodyTextIndent3">
    <w:name w:val="Body Text Indent 3"/>
    <w:basedOn w:val="Normal"/>
    <w:rsid w:val="00A8274A"/>
    <w:pPr>
      <w:spacing w:before="240" w:after="120"/>
      <w:ind w:left="634"/>
      <w:jc w:val="center"/>
    </w:pPr>
    <w:rPr>
      <w:caps/>
      <w:sz w:val="24"/>
    </w:rPr>
  </w:style>
  <w:style w:type="paragraph" w:styleId="BodyText2">
    <w:name w:val="Body Text 2"/>
    <w:basedOn w:val="Normal"/>
    <w:link w:val="BodyText2Char"/>
    <w:rsid w:val="00A8274A"/>
    <w:pPr>
      <w:numPr>
        <w:ilvl w:val="12"/>
      </w:numPr>
      <w:spacing w:after="120"/>
      <w:jc w:val="both"/>
    </w:pPr>
    <w:rPr>
      <w:sz w:val="22"/>
    </w:rPr>
  </w:style>
  <w:style w:type="paragraph" w:styleId="Title">
    <w:name w:val="Title"/>
    <w:basedOn w:val="Normal"/>
    <w:qFormat/>
    <w:rsid w:val="00A8274A"/>
    <w:pPr>
      <w:jc w:val="center"/>
    </w:pPr>
    <w:rPr>
      <w:b/>
      <w:sz w:val="24"/>
    </w:rPr>
  </w:style>
  <w:style w:type="paragraph" w:styleId="BodyText">
    <w:name w:val="Body Text"/>
    <w:aliases w:val="SCA Body Text,SCA Body Text1,SCA Body Text2,SCA Body Text11,BodyText-JEA,BT-JEA"/>
    <w:basedOn w:val="Normal"/>
    <w:link w:val="BodyTextChar"/>
    <w:rsid w:val="00A8274A"/>
    <w:pPr>
      <w:spacing w:after="120"/>
    </w:pPr>
    <w:rPr>
      <w:sz w:val="24"/>
    </w:rPr>
  </w:style>
  <w:style w:type="paragraph" w:styleId="BodyText3">
    <w:name w:val="Body Text 3"/>
    <w:basedOn w:val="Normal"/>
    <w:link w:val="BodyText3Char"/>
    <w:rsid w:val="00A8274A"/>
    <w:pPr>
      <w:spacing w:before="120" w:after="120"/>
    </w:pPr>
    <w:rPr>
      <w:sz w:val="22"/>
    </w:rPr>
  </w:style>
  <w:style w:type="paragraph" w:customStyle="1" w:styleId="Style4">
    <w:name w:val="Style4"/>
    <w:next w:val="Normal"/>
    <w:rsid w:val="00A8274A"/>
    <w:rPr>
      <w:noProof/>
      <w:sz w:val="24"/>
    </w:rPr>
  </w:style>
  <w:style w:type="paragraph" w:styleId="BlockText">
    <w:name w:val="Block Text"/>
    <w:basedOn w:val="Normal"/>
    <w:rsid w:val="00A8274A"/>
    <w:pPr>
      <w:spacing w:after="120"/>
      <w:ind w:left="720" w:right="43"/>
      <w:jc w:val="both"/>
    </w:pPr>
    <w:rPr>
      <w:sz w:val="22"/>
    </w:rPr>
  </w:style>
  <w:style w:type="character" w:styleId="Hyperlink">
    <w:name w:val="Hyperlink"/>
    <w:basedOn w:val="DefaultParagraphFont"/>
    <w:rsid w:val="00A8274A"/>
    <w:rPr>
      <w:color w:val="0000FF"/>
      <w:u w:val="single"/>
    </w:rPr>
  </w:style>
  <w:style w:type="paragraph" w:customStyle="1" w:styleId="SCATableHeading">
    <w:name w:val="SCA Table Heading"/>
    <w:basedOn w:val="Normal"/>
    <w:rsid w:val="00A8274A"/>
    <w:pPr>
      <w:jc w:val="center"/>
    </w:pPr>
    <w:rPr>
      <w:b/>
      <w:caps/>
    </w:rPr>
  </w:style>
  <w:style w:type="paragraph" w:customStyle="1" w:styleId="Default">
    <w:name w:val="Default"/>
    <w:rsid w:val="002A28C2"/>
    <w:pPr>
      <w:autoSpaceDE w:val="0"/>
      <w:autoSpaceDN w:val="0"/>
      <w:adjustRightInd w:val="0"/>
    </w:pPr>
    <w:rPr>
      <w:color w:val="000000"/>
      <w:sz w:val="24"/>
      <w:szCs w:val="24"/>
    </w:rPr>
  </w:style>
  <w:style w:type="paragraph" w:styleId="DocumentMap">
    <w:name w:val="Document Map"/>
    <w:basedOn w:val="Normal"/>
    <w:link w:val="DocumentMapChar"/>
    <w:rsid w:val="00F94174"/>
    <w:rPr>
      <w:rFonts w:ascii="Tahoma" w:hAnsi="Tahoma" w:cs="Tahoma"/>
      <w:sz w:val="16"/>
      <w:szCs w:val="16"/>
    </w:rPr>
  </w:style>
  <w:style w:type="character" w:customStyle="1" w:styleId="DocumentMapChar">
    <w:name w:val="Document Map Char"/>
    <w:basedOn w:val="DefaultParagraphFont"/>
    <w:link w:val="DocumentMap"/>
    <w:rsid w:val="00F94174"/>
    <w:rPr>
      <w:rFonts w:ascii="Tahoma" w:hAnsi="Tahoma" w:cs="Tahoma"/>
      <w:sz w:val="16"/>
      <w:szCs w:val="16"/>
    </w:rPr>
  </w:style>
  <w:style w:type="table" w:styleId="TableGrid">
    <w:name w:val="Table Grid"/>
    <w:basedOn w:val="TableNormal"/>
    <w:rsid w:val="000A0B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aliases w:val="SCA Body Text Char,SCA Body Text1 Char,SCA Body Text2 Char,SCA Body Text11 Char,BodyText-JEA Char,BT-JEA Char"/>
    <w:basedOn w:val="DefaultParagraphFont"/>
    <w:link w:val="BodyText"/>
    <w:rsid w:val="00EB2BF7"/>
    <w:rPr>
      <w:sz w:val="24"/>
    </w:rPr>
  </w:style>
  <w:style w:type="character" w:customStyle="1" w:styleId="BodyText2Char">
    <w:name w:val="Body Text 2 Char"/>
    <w:basedOn w:val="DefaultParagraphFont"/>
    <w:link w:val="BodyText2"/>
    <w:rsid w:val="00FA6F4E"/>
    <w:rPr>
      <w:sz w:val="22"/>
    </w:rPr>
  </w:style>
  <w:style w:type="paragraph" w:styleId="BalloonText">
    <w:name w:val="Balloon Text"/>
    <w:basedOn w:val="Normal"/>
    <w:link w:val="BalloonTextChar"/>
    <w:rsid w:val="00584939"/>
    <w:rPr>
      <w:rFonts w:ascii="Tahoma" w:hAnsi="Tahoma" w:cs="Tahoma"/>
      <w:sz w:val="16"/>
      <w:szCs w:val="16"/>
    </w:rPr>
  </w:style>
  <w:style w:type="character" w:customStyle="1" w:styleId="BalloonTextChar">
    <w:name w:val="Balloon Text Char"/>
    <w:basedOn w:val="DefaultParagraphFont"/>
    <w:link w:val="BalloonText"/>
    <w:rsid w:val="00584939"/>
    <w:rPr>
      <w:rFonts w:ascii="Tahoma" w:hAnsi="Tahoma" w:cs="Tahoma"/>
      <w:sz w:val="16"/>
      <w:szCs w:val="16"/>
    </w:rPr>
  </w:style>
  <w:style w:type="character" w:customStyle="1" w:styleId="FooterChar">
    <w:name w:val="Footer Char"/>
    <w:basedOn w:val="DefaultParagraphFont"/>
    <w:link w:val="Footer"/>
    <w:uiPriority w:val="99"/>
    <w:rsid w:val="00C956E4"/>
  </w:style>
  <w:style w:type="paragraph" w:styleId="CommentText">
    <w:name w:val="annotation text"/>
    <w:basedOn w:val="Normal"/>
    <w:link w:val="CommentTextChar"/>
    <w:rsid w:val="00EB2EA1"/>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EB2EA1"/>
  </w:style>
  <w:style w:type="character" w:styleId="CommentReference">
    <w:name w:val="annotation reference"/>
    <w:basedOn w:val="DefaultParagraphFont"/>
    <w:rsid w:val="00D27FAB"/>
    <w:rPr>
      <w:sz w:val="16"/>
      <w:szCs w:val="16"/>
    </w:rPr>
  </w:style>
  <w:style w:type="paragraph" w:styleId="CommentSubject">
    <w:name w:val="annotation subject"/>
    <w:basedOn w:val="CommentText"/>
    <w:next w:val="CommentText"/>
    <w:link w:val="CommentSubjectChar"/>
    <w:rsid w:val="00D27FAB"/>
    <w:pPr>
      <w:overflowPunct/>
      <w:autoSpaceDE/>
      <w:autoSpaceDN/>
      <w:adjustRightInd/>
      <w:textAlignment w:val="auto"/>
    </w:pPr>
    <w:rPr>
      <w:b/>
      <w:bCs/>
    </w:rPr>
  </w:style>
  <w:style w:type="character" w:customStyle="1" w:styleId="CommentSubjectChar">
    <w:name w:val="Comment Subject Char"/>
    <w:basedOn w:val="CommentTextChar"/>
    <w:link w:val="CommentSubject"/>
    <w:rsid w:val="00D27FAB"/>
    <w:rPr>
      <w:b/>
      <w:bCs/>
    </w:rPr>
  </w:style>
  <w:style w:type="paragraph" w:styleId="TOC8">
    <w:name w:val="toc 8"/>
    <w:basedOn w:val="Normal"/>
    <w:next w:val="Normal"/>
    <w:rsid w:val="00CB4C56"/>
    <w:pPr>
      <w:tabs>
        <w:tab w:val="right" w:leader="dot" w:pos="8640"/>
      </w:tabs>
      <w:overflowPunct w:val="0"/>
      <w:autoSpaceDE w:val="0"/>
      <w:autoSpaceDN w:val="0"/>
      <w:adjustRightInd w:val="0"/>
      <w:ind w:left="1400"/>
      <w:textAlignment w:val="baseline"/>
    </w:pPr>
  </w:style>
  <w:style w:type="paragraph" w:styleId="NormalWeb">
    <w:name w:val="Normal (Web)"/>
    <w:basedOn w:val="Normal"/>
    <w:uiPriority w:val="99"/>
    <w:unhideWhenUsed/>
    <w:rsid w:val="000E0776"/>
    <w:pPr>
      <w:spacing w:before="100" w:beforeAutospacing="1" w:after="100" w:afterAutospacing="1"/>
    </w:pPr>
    <w:rPr>
      <w:rFonts w:eastAsiaTheme="minorHAnsi"/>
      <w:sz w:val="24"/>
      <w:szCs w:val="24"/>
    </w:rPr>
  </w:style>
  <w:style w:type="paragraph" w:customStyle="1" w:styleId="subpart">
    <w:name w:val="subpart"/>
    <w:basedOn w:val="Normal"/>
    <w:rsid w:val="00B72AAC"/>
    <w:pPr>
      <w:shd w:val="clear" w:color="auto" w:fill="FFFFFF"/>
      <w:spacing w:before="100" w:beforeAutospacing="1" w:after="100" w:afterAutospacing="1"/>
    </w:pPr>
    <w:rPr>
      <w:color w:val="0000FF"/>
      <w:sz w:val="22"/>
      <w:szCs w:val="22"/>
    </w:rPr>
  </w:style>
  <w:style w:type="paragraph" w:customStyle="1" w:styleId="Style0">
    <w:name w:val="Style0"/>
    <w:rsid w:val="00156C2F"/>
    <w:rPr>
      <w:rFonts w:ascii="Arial" w:hAnsi="Arial"/>
      <w:sz w:val="24"/>
    </w:rPr>
  </w:style>
  <w:style w:type="paragraph" w:styleId="ListParagraph">
    <w:name w:val="List Paragraph"/>
    <w:basedOn w:val="Normal"/>
    <w:uiPriority w:val="34"/>
    <w:qFormat/>
    <w:rsid w:val="0095599C"/>
    <w:pPr>
      <w:ind w:left="720"/>
      <w:contextualSpacing/>
    </w:pPr>
  </w:style>
  <w:style w:type="character" w:customStyle="1" w:styleId="BodyText3Char">
    <w:name w:val="Body Text 3 Char"/>
    <w:link w:val="BodyText3"/>
    <w:rsid w:val="00973998"/>
    <w:rPr>
      <w:sz w:val="22"/>
    </w:rPr>
  </w:style>
  <w:style w:type="character" w:customStyle="1" w:styleId="HeaderChar">
    <w:name w:val="Header Char"/>
    <w:link w:val="Header"/>
    <w:rsid w:val="00BB3F3E"/>
  </w:style>
  <w:style w:type="paragraph" w:customStyle="1" w:styleId="aCondition">
    <w:name w:val="aCondition"/>
    <w:basedOn w:val="Normal"/>
    <w:rsid w:val="00EC7978"/>
    <w:pPr>
      <w:ind w:left="900" w:hanging="540"/>
    </w:pPr>
    <w:rPr>
      <w:sz w:val="24"/>
    </w:rPr>
  </w:style>
  <w:style w:type="paragraph" w:styleId="FootnoteText">
    <w:name w:val="footnote text"/>
    <w:basedOn w:val="Normal"/>
    <w:link w:val="FootnoteTextChar"/>
    <w:unhideWhenUsed/>
    <w:rsid w:val="0060405E"/>
  </w:style>
  <w:style w:type="character" w:customStyle="1" w:styleId="FootnoteTextChar">
    <w:name w:val="Footnote Text Char"/>
    <w:basedOn w:val="DefaultParagraphFont"/>
    <w:link w:val="FootnoteText"/>
    <w:rsid w:val="0060405E"/>
  </w:style>
  <w:style w:type="character" w:styleId="FootnoteReference">
    <w:name w:val="footnote reference"/>
    <w:basedOn w:val="DefaultParagraphFont"/>
    <w:semiHidden/>
    <w:unhideWhenUsed/>
    <w:rsid w:val="0060405E"/>
    <w:rPr>
      <w:vertAlign w:val="superscript"/>
    </w:rPr>
  </w:style>
  <w:style w:type="paragraph" w:styleId="EndnoteText">
    <w:name w:val="endnote text"/>
    <w:basedOn w:val="Normal"/>
    <w:link w:val="EndnoteTextChar"/>
    <w:semiHidden/>
    <w:unhideWhenUsed/>
    <w:rsid w:val="007B46AD"/>
  </w:style>
  <w:style w:type="character" w:customStyle="1" w:styleId="EndnoteTextChar">
    <w:name w:val="Endnote Text Char"/>
    <w:basedOn w:val="DefaultParagraphFont"/>
    <w:link w:val="EndnoteText"/>
    <w:semiHidden/>
    <w:rsid w:val="007B46AD"/>
  </w:style>
  <w:style w:type="character" w:styleId="FollowedHyperlink">
    <w:name w:val="FollowedHyperlink"/>
    <w:basedOn w:val="DefaultParagraphFont"/>
    <w:semiHidden/>
    <w:unhideWhenUsed/>
    <w:rsid w:val="007839E1"/>
    <w:rPr>
      <w:color w:val="800080" w:themeColor="followedHyperlink"/>
      <w:u w:val="single"/>
    </w:rPr>
  </w:style>
  <w:style w:type="paragraph" w:customStyle="1" w:styleId="AEParagraph2">
    <w:name w:val="AE Paragraph 2"/>
    <w:basedOn w:val="Normal"/>
    <w:rsid w:val="00DC672D"/>
    <w:pPr>
      <w:spacing w:before="60" w:after="120"/>
      <w:ind w:left="1440"/>
    </w:pPr>
    <w:rPr>
      <w:rFonts w:ascii="Arial" w:eastAsiaTheme="minorHAnsi" w:hAnsi="Arial" w:cs="Arial"/>
      <w:sz w:val="22"/>
      <w:szCs w:val="22"/>
      <w:lang w:eastAsia="ko-KR"/>
    </w:rPr>
  </w:style>
  <w:style w:type="paragraph" w:styleId="Revision">
    <w:name w:val="Revision"/>
    <w:hidden/>
    <w:uiPriority w:val="99"/>
    <w:semiHidden/>
    <w:rsid w:val="006E391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6091003">
      <w:bodyDiv w:val="1"/>
      <w:marLeft w:val="0"/>
      <w:marRight w:val="0"/>
      <w:marTop w:val="0"/>
      <w:marBottom w:val="0"/>
      <w:divBdr>
        <w:top w:val="none" w:sz="0" w:space="0" w:color="auto"/>
        <w:left w:val="none" w:sz="0" w:space="0" w:color="auto"/>
        <w:bottom w:val="none" w:sz="0" w:space="0" w:color="auto"/>
        <w:right w:val="none" w:sz="0" w:space="0" w:color="auto"/>
      </w:divBdr>
    </w:div>
    <w:div w:id="181483278">
      <w:bodyDiv w:val="1"/>
      <w:marLeft w:val="0"/>
      <w:marRight w:val="0"/>
      <w:marTop w:val="20"/>
      <w:marBottom w:val="500"/>
      <w:divBdr>
        <w:top w:val="none" w:sz="0" w:space="0" w:color="auto"/>
        <w:left w:val="none" w:sz="0" w:space="0" w:color="auto"/>
        <w:bottom w:val="none" w:sz="0" w:space="0" w:color="auto"/>
        <w:right w:val="none" w:sz="0" w:space="0" w:color="auto"/>
      </w:divBdr>
      <w:divsChild>
        <w:div w:id="42415034">
          <w:marLeft w:val="0"/>
          <w:marRight w:val="0"/>
          <w:marTop w:val="0"/>
          <w:marBottom w:val="0"/>
          <w:divBdr>
            <w:top w:val="none" w:sz="0" w:space="0" w:color="auto"/>
            <w:left w:val="none" w:sz="0" w:space="0" w:color="auto"/>
            <w:bottom w:val="none" w:sz="0" w:space="0" w:color="auto"/>
            <w:right w:val="none" w:sz="0" w:space="0" w:color="auto"/>
          </w:divBdr>
        </w:div>
      </w:divsChild>
    </w:div>
    <w:div w:id="209734280">
      <w:bodyDiv w:val="1"/>
      <w:marLeft w:val="0"/>
      <w:marRight w:val="0"/>
      <w:marTop w:val="30"/>
      <w:marBottom w:val="750"/>
      <w:divBdr>
        <w:top w:val="none" w:sz="0" w:space="0" w:color="auto"/>
        <w:left w:val="none" w:sz="0" w:space="0" w:color="auto"/>
        <w:bottom w:val="none" w:sz="0" w:space="0" w:color="auto"/>
        <w:right w:val="none" w:sz="0" w:space="0" w:color="auto"/>
      </w:divBdr>
      <w:divsChild>
        <w:div w:id="1217081561">
          <w:marLeft w:val="0"/>
          <w:marRight w:val="0"/>
          <w:marTop w:val="0"/>
          <w:marBottom w:val="0"/>
          <w:divBdr>
            <w:top w:val="none" w:sz="0" w:space="0" w:color="auto"/>
            <w:left w:val="none" w:sz="0" w:space="0" w:color="auto"/>
            <w:bottom w:val="none" w:sz="0" w:space="0" w:color="auto"/>
            <w:right w:val="none" w:sz="0" w:space="0" w:color="auto"/>
          </w:divBdr>
        </w:div>
      </w:divsChild>
    </w:div>
    <w:div w:id="840900286">
      <w:bodyDiv w:val="1"/>
      <w:marLeft w:val="0"/>
      <w:marRight w:val="0"/>
      <w:marTop w:val="30"/>
      <w:marBottom w:val="750"/>
      <w:divBdr>
        <w:top w:val="none" w:sz="0" w:space="0" w:color="auto"/>
        <w:left w:val="none" w:sz="0" w:space="0" w:color="auto"/>
        <w:bottom w:val="none" w:sz="0" w:space="0" w:color="auto"/>
        <w:right w:val="none" w:sz="0" w:space="0" w:color="auto"/>
      </w:divBdr>
      <w:divsChild>
        <w:div w:id="1103065611">
          <w:marLeft w:val="0"/>
          <w:marRight w:val="0"/>
          <w:marTop w:val="0"/>
          <w:marBottom w:val="0"/>
          <w:divBdr>
            <w:top w:val="none" w:sz="0" w:space="0" w:color="auto"/>
            <w:left w:val="none" w:sz="0" w:space="0" w:color="auto"/>
            <w:bottom w:val="none" w:sz="0" w:space="0" w:color="auto"/>
            <w:right w:val="none" w:sz="0" w:space="0" w:color="auto"/>
          </w:divBdr>
        </w:div>
      </w:divsChild>
    </w:div>
    <w:div w:id="915362855">
      <w:bodyDiv w:val="1"/>
      <w:marLeft w:val="0"/>
      <w:marRight w:val="0"/>
      <w:marTop w:val="30"/>
      <w:marBottom w:val="750"/>
      <w:divBdr>
        <w:top w:val="none" w:sz="0" w:space="0" w:color="auto"/>
        <w:left w:val="none" w:sz="0" w:space="0" w:color="auto"/>
        <w:bottom w:val="none" w:sz="0" w:space="0" w:color="auto"/>
        <w:right w:val="none" w:sz="0" w:space="0" w:color="auto"/>
      </w:divBdr>
      <w:divsChild>
        <w:div w:id="1581596732">
          <w:marLeft w:val="0"/>
          <w:marRight w:val="0"/>
          <w:marTop w:val="0"/>
          <w:marBottom w:val="0"/>
          <w:divBdr>
            <w:top w:val="none" w:sz="0" w:space="0" w:color="auto"/>
            <w:left w:val="none" w:sz="0" w:space="0" w:color="auto"/>
            <w:bottom w:val="none" w:sz="0" w:space="0" w:color="auto"/>
            <w:right w:val="none" w:sz="0" w:space="0" w:color="auto"/>
          </w:divBdr>
        </w:div>
      </w:divsChild>
    </w:div>
    <w:div w:id="1183083815">
      <w:bodyDiv w:val="1"/>
      <w:marLeft w:val="0"/>
      <w:marRight w:val="0"/>
      <w:marTop w:val="30"/>
      <w:marBottom w:val="750"/>
      <w:divBdr>
        <w:top w:val="none" w:sz="0" w:space="0" w:color="auto"/>
        <w:left w:val="none" w:sz="0" w:space="0" w:color="auto"/>
        <w:bottom w:val="none" w:sz="0" w:space="0" w:color="auto"/>
        <w:right w:val="none" w:sz="0" w:space="0" w:color="auto"/>
      </w:divBdr>
      <w:divsChild>
        <w:div w:id="1331252999">
          <w:marLeft w:val="0"/>
          <w:marRight w:val="0"/>
          <w:marTop w:val="0"/>
          <w:marBottom w:val="0"/>
          <w:divBdr>
            <w:top w:val="none" w:sz="0" w:space="0" w:color="auto"/>
            <w:left w:val="none" w:sz="0" w:space="0" w:color="auto"/>
            <w:bottom w:val="none" w:sz="0" w:space="0" w:color="auto"/>
            <w:right w:val="none" w:sz="0" w:space="0" w:color="auto"/>
          </w:divBdr>
        </w:div>
      </w:divsChild>
    </w:div>
    <w:div w:id="1369912391">
      <w:bodyDiv w:val="1"/>
      <w:marLeft w:val="0"/>
      <w:marRight w:val="0"/>
      <w:marTop w:val="20"/>
      <w:marBottom w:val="500"/>
      <w:divBdr>
        <w:top w:val="none" w:sz="0" w:space="0" w:color="auto"/>
        <w:left w:val="none" w:sz="0" w:space="0" w:color="auto"/>
        <w:bottom w:val="none" w:sz="0" w:space="0" w:color="auto"/>
        <w:right w:val="none" w:sz="0" w:space="0" w:color="auto"/>
      </w:divBdr>
      <w:divsChild>
        <w:div w:id="1001470011">
          <w:marLeft w:val="0"/>
          <w:marRight w:val="0"/>
          <w:marTop w:val="0"/>
          <w:marBottom w:val="0"/>
          <w:divBdr>
            <w:top w:val="none" w:sz="0" w:space="0" w:color="auto"/>
            <w:left w:val="none" w:sz="0" w:space="0" w:color="auto"/>
            <w:bottom w:val="none" w:sz="0" w:space="0" w:color="auto"/>
            <w:right w:val="none" w:sz="0" w:space="0" w:color="auto"/>
          </w:divBdr>
        </w:div>
      </w:divsChild>
    </w:div>
    <w:div w:id="1617327427">
      <w:bodyDiv w:val="1"/>
      <w:marLeft w:val="0"/>
      <w:marRight w:val="0"/>
      <w:marTop w:val="20"/>
      <w:marBottom w:val="500"/>
      <w:divBdr>
        <w:top w:val="none" w:sz="0" w:space="0" w:color="auto"/>
        <w:left w:val="none" w:sz="0" w:space="0" w:color="auto"/>
        <w:bottom w:val="none" w:sz="0" w:space="0" w:color="auto"/>
        <w:right w:val="none" w:sz="0" w:space="0" w:color="auto"/>
      </w:divBdr>
      <w:divsChild>
        <w:div w:id="806360752">
          <w:marLeft w:val="0"/>
          <w:marRight w:val="0"/>
          <w:marTop w:val="0"/>
          <w:marBottom w:val="0"/>
          <w:divBdr>
            <w:top w:val="none" w:sz="0" w:space="0" w:color="auto"/>
            <w:left w:val="none" w:sz="0" w:space="0" w:color="auto"/>
            <w:bottom w:val="none" w:sz="0" w:space="0" w:color="auto"/>
            <w:right w:val="none" w:sz="0" w:space="0" w:color="auto"/>
          </w:divBdr>
        </w:div>
      </w:divsChild>
    </w:div>
    <w:div w:id="1752502139">
      <w:bodyDiv w:val="1"/>
      <w:marLeft w:val="0"/>
      <w:marRight w:val="0"/>
      <w:marTop w:val="0"/>
      <w:marBottom w:val="0"/>
      <w:divBdr>
        <w:top w:val="none" w:sz="0" w:space="0" w:color="auto"/>
        <w:left w:val="none" w:sz="0" w:space="0" w:color="auto"/>
        <w:bottom w:val="none" w:sz="0" w:space="0" w:color="auto"/>
        <w:right w:val="none" w:sz="0" w:space="0" w:color="auto"/>
      </w:divBdr>
    </w:div>
    <w:div w:id="1974091897">
      <w:bodyDiv w:val="1"/>
      <w:marLeft w:val="0"/>
      <w:marRight w:val="0"/>
      <w:marTop w:val="20"/>
      <w:marBottom w:val="500"/>
      <w:divBdr>
        <w:top w:val="none" w:sz="0" w:space="0" w:color="auto"/>
        <w:left w:val="none" w:sz="0" w:space="0" w:color="auto"/>
        <w:bottom w:val="none" w:sz="0" w:space="0" w:color="auto"/>
        <w:right w:val="none" w:sz="0" w:space="0" w:color="auto"/>
      </w:divBdr>
      <w:divsChild>
        <w:div w:id="15253635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4.xml"/><Relationship Id="rId26"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image" Target="media/image5.png"/><Relationship Id="rId34" Type="http://schemas.openxmlformats.org/officeDocument/2006/relationships/header" Target="header9.xml"/><Relationship Id="rId7" Type="http://schemas.openxmlformats.org/officeDocument/2006/relationships/image" Target="media/image1.png"/><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image" Target="media/image9.png"/><Relationship Id="rId33" Type="http://schemas.openxmlformats.org/officeDocument/2006/relationships/footer" Target="footer5.xml"/><Relationship Id="rId2" Type="http://schemas.openxmlformats.org/officeDocument/2006/relationships/styles" Target="styles.xml"/><Relationship Id="rId16" Type="http://schemas.openxmlformats.org/officeDocument/2006/relationships/header" Target="header4.xm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header" Target="header8.xm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6.xml"/><Relationship Id="rId31" Type="http://schemas.openxmlformats.org/officeDocument/2006/relationships/header" Target="header7.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hyperlink" Target="http://www.ecfr.gov/cgi-bin/text-idx?SID=4959be2365dc831e15112e571d1e9b7f&amp;node=pt40.3.52&amp;rgn=div5" TargetMode="External"/><Relationship Id="rId35" Type="http://schemas.openxmlformats.org/officeDocument/2006/relationships/footer" Target="footer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21</Pages>
  <Words>9060</Words>
  <Characters>50668</Characters>
  <Application>Microsoft Office Word</Application>
  <DocSecurity>0</DocSecurity>
  <Lines>422</Lines>
  <Paragraphs>119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59609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2015-08-24T21:10:00Z</dcterms:created>
  <dcterms:modified xsi:type="dcterms:W3CDTF">2015-12-14T21:16:00Z</dcterms:modified>
</cp:coreProperties>
</file>